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2"/>
          <w:szCs w:val="32"/>
        </w:rPr>
      </w:pPr>
      <w:bookmarkStart w:id="1" w:name="_GoBack"/>
      <w:bookmarkStart w:id="0" w:name="_Toc24724719"/>
      <w:r>
        <w:rPr>
          <w:rFonts w:hint="eastAsia"/>
          <w:sz w:val="32"/>
          <w:szCs w:val="32"/>
        </w:rPr>
        <w:t>（十六）农村危房改造领域基层政务公开标准目录</w:t>
      </w:r>
      <w:bookmarkEnd w:id="0"/>
    </w:p>
    <w:bookmarkEnd w:id="1"/>
    <w:tbl>
      <w:tblPr>
        <w:tblStyle w:val="3"/>
        <w:tblW w:w="15658"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755"/>
        <w:gridCol w:w="1108"/>
        <w:gridCol w:w="2700"/>
        <w:gridCol w:w="1995"/>
        <w:gridCol w:w="1215"/>
        <w:gridCol w:w="1111"/>
        <w:gridCol w:w="2204"/>
        <w:gridCol w:w="683"/>
        <w:gridCol w:w="607"/>
        <w:gridCol w:w="622"/>
        <w:gridCol w:w="819"/>
        <w:gridCol w:w="56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序号</w:t>
            </w:r>
          </w:p>
        </w:tc>
        <w:tc>
          <w:tcPr>
            <w:tcW w:w="1863" w:type="dxa"/>
            <w:gridSpan w:val="2"/>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公开事项</w:t>
            </w:r>
          </w:p>
        </w:tc>
        <w:tc>
          <w:tcPr>
            <w:tcW w:w="2700"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公开内容（要素）</w:t>
            </w:r>
          </w:p>
        </w:tc>
        <w:tc>
          <w:tcPr>
            <w:tcW w:w="1995"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公开依据</w:t>
            </w:r>
          </w:p>
        </w:tc>
        <w:tc>
          <w:tcPr>
            <w:tcW w:w="1215"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公开时限</w:t>
            </w:r>
          </w:p>
        </w:tc>
        <w:tc>
          <w:tcPr>
            <w:tcW w:w="1111"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公开主体</w:t>
            </w:r>
          </w:p>
        </w:tc>
        <w:tc>
          <w:tcPr>
            <w:tcW w:w="2204" w:type="dxa"/>
            <w:vMerge w:val="restart"/>
            <w:noWrap w:val="0"/>
            <w:vAlign w:val="center"/>
          </w:tcPr>
          <w:p>
            <w:pPr>
              <w:widowControl/>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公开渠道和载体</w:t>
            </w:r>
          </w:p>
        </w:tc>
        <w:tc>
          <w:tcPr>
            <w:tcW w:w="1290" w:type="dxa"/>
            <w:gridSpan w:val="2"/>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公开对象</w:t>
            </w:r>
          </w:p>
        </w:tc>
        <w:tc>
          <w:tcPr>
            <w:tcW w:w="1441" w:type="dxa"/>
            <w:gridSpan w:val="2"/>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公开方式</w:t>
            </w:r>
          </w:p>
        </w:tc>
        <w:tc>
          <w:tcPr>
            <w:tcW w:w="1293" w:type="dxa"/>
            <w:gridSpan w:val="2"/>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755"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一级事项</w:t>
            </w:r>
          </w:p>
        </w:tc>
        <w:tc>
          <w:tcPr>
            <w:tcW w:w="1108"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二级事项</w:t>
            </w:r>
          </w:p>
        </w:tc>
        <w:tc>
          <w:tcPr>
            <w:tcW w:w="2700"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1995"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1215"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1111"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2204" w:type="dxa"/>
            <w:vMerge w:val="continue"/>
            <w:noWrap w:val="0"/>
            <w:vAlign w:val="center"/>
          </w:tcPr>
          <w:p>
            <w:pPr>
              <w:widowControl/>
              <w:jc w:val="left"/>
              <w:rPr>
                <w:rFonts w:hint="eastAsia" w:ascii="黑体" w:hAnsi="黑体" w:eastAsia="黑体" w:cs="黑体"/>
                <w:b/>
                <w:bCs/>
                <w:kern w:val="0"/>
                <w:sz w:val="21"/>
                <w:szCs w:val="21"/>
              </w:rPr>
            </w:pPr>
          </w:p>
        </w:tc>
        <w:tc>
          <w:tcPr>
            <w:tcW w:w="683"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全社会</w:t>
            </w:r>
          </w:p>
        </w:tc>
        <w:tc>
          <w:tcPr>
            <w:tcW w:w="607"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特定群众</w:t>
            </w:r>
          </w:p>
        </w:tc>
        <w:tc>
          <w:tcPr>
            <w:tcW w:w="622"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主动</w:t>
            </w:r>
          </w:p>
        </w:tc>
        <w:tc>
          <w:tcPr>
            <w:tcW w:w="819"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依申请公开</w:t>
            </w:r>
          </w:p>
        </w:tc>
        <w:tc>
          <w:tcPr>
            <w:tcW w:w="565"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县级</w:t>
            </w:r>
          </w:p>
        </w:tc>
        <w:tc>
          <w:tcPr>
            <w:tcW w:w="728"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w:t>
            </w:r>
          </w:p>
        </w:tc>
        <w:tc>
          <w:tcPr>
            <w:tcW w:w="75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部门文件</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农村危房改造相关文件</w:t>
            </w:r>
          </w:p>
        </w:tc>
        <w:tc>
          <w:tcPr>
            <w:tcW w:w="2700"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sz w:val="18"/>
                <w:szCs w:val="18"/>
                <w:lang w:eastAsia="zh-CN"/>
              </w:rPr>
              <w:t>吉建联发〔</w:t>
            </w:r>
            <w:r>
              <w:rPr>
                <w:rFonts w:hint="eastAsia" w:ascii="黑体" w:hAnsi="黑体" w:eastAsia="黑体" w:cs="黑体"/>
                <w:color w:val="000000"/>
                <w:sz w:val="18"/>
                <w:szCs w:val="18"/>
                <w:lang w:val="en-US" w:eastAsia="zh-CN"/>
              </w:rPr>
              <w:t>2018〕32号关于印发《吉林省2018年农村危房改造实施方案》的通知</w:t>
            </w:r>
          </w:p>
        </w:tc>
        <w:tc>
          <w:tcPr>
            <w:tcW w:w="1995"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sz w:val="18"/>
                <w:szCs w:val="18"/>
              </w:rPr>
              <w:t>《政府信息公开条例》、《关于全面推进政务公开工作的意见》及其实施细则</w:t>
            </w:r>
          </w:p>
        </w:tc>
        <w:tc>
          <w:tcPr>
            <w:tcW w:w="1215"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widowControl/>
              <w:jc w:val="left"/>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住建局</w:t>
            </w:r>
          </w:p>
        </w:tc>
        <w:tc>
          <w:tcPr>
            <w:tcW w:w="2204" w:type="dxa"/>
            <w:noWrap w:val="0"/>
            <w:vAlign w:val="center"/>
          </w:tcPr>
          <w:p>
            <w:pPr>
              <w:widowControl/>
              <w:jc w:val="left"/>
              <w:rPr>
                <w:rFonts w:hint="eastAsia" w:ascii="黑体" w:hAnsi="黑体" w:eastAsia="黑体" w:cs="黑体"/>
                <w:kern w:val="0"/>
                <w:sz w:val="18"/>
                <w:szCs w:val="18"/>
              </w:rPr>
            </w:pPr>
            <w:r>
              <w:rPr>
                <w:rFonts w:hint="eastAsia" w:ascii="黑体" w:hAnsi="黑体" w:eastAsia="黑体" w:cs="黑体"/>
                <w:color w:val="000000"/>
                <w:sz w:val="18"/>
                <w:szCs w:val="18"/>
              </w:rPr>
              <w:t>政府门户网站、政务新媒体、广播、电视、报纸、公示栏等平台和办事大厅、便民服务窗口等场所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2</w:t>
            </w:r>
          </w:p>
        </w:tc>
        <w:tc>
          <w:tcPr>
            <w:tcW w:w="75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政策解读</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上级政策解读</w:t>
            </w:r>
          </w:p>
        </w:tc>
        <w:tc>
          <w:tcPr>
            <w:tcW w:w="2700" w:type="dxa"/>
            <w:vMerge w:val="restart"/>
            <w:noWrap w:val="0"/>
            <w:vAlign w:val="center"/>
          </w:tcPr>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 xml:space="preserve">按照党中央、国务院关于加快推进农村危房改造和打赢脱贫攻坚战有关要求，为切实做好我省 2018 年农村危房改造工作，根据《吉林省人民政府办公厅转发省住房城乡建设厅关于“十三五”期间推进农村危房改造工作实施意见的通知》（吉政办明电〔2016〕65 号）和农村危房改造有关规定， </w:t>
            </w:r>
          </w:p>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 xml:space="preserve">省住房城乡建设厅会同省财政厅共同制定了《吉林省 2018 </w:t>
            </w:r>
          </w:p>
          <w:p>
            <w:pPr>
              <w:keepNext w:val="0"/>
              <w:keepLines w:val="0"/>
              <w:widowControl/>
              <w:suppressLineNumbers w:val="0"/>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val="en-US" w:eastAsia="zh-CN" w:bidi="ar"/>
              </w:rPr>
              <w:t>年农村危房改造实施方案》。</w:t>
            </w:r>
          </w:p>
        </w:tc>
        <w:tc>
          <w:tcPr>
            <w:tcW w:w="1995" w:type="dxa"/>
            <w:vMerge w:val="restart"/>
            <w:noWrap w:val="0"/>
            <w:vAlign w:val="center"/>
          </w:tcPr>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《政府信息公开条例》、《关于全面推进政务公开工作的意见》及其实施细则</w:t>
            </w:r>
          </w:p>
        </w:tc>
        <w:tc>
          <w:tcPr>
            <w:tcW w:w="1215" w:type="dxa"/>
            <w:vMerge w:val="restart"/>
            <w:noWrap w:val="0"/>
            <w:vAlign w:val="center"/>
          </w:tcPr>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vMerge w:val="restart"/>
            <w:noWrap w:val="0"/>
            <w:vAlign w:val="center"/>
          </w:tcPr>
          <w:p>
            <w:pPr>
              <w:widowControl/>
              <w:jc w:val="left"/>
              <w:rPr>
                <w:rFonts w:hint="eastAsia" w:ascii="黑体" w:hAnsi="黑体" w:eastAsia="黑体" w:cs="黑体"/>
                <w:color w:val="000000"/>
                <w:kern w:val="0"/>
                <w:sz w:val="18"/>
                <w:szCs w:val="18"/>
                <w:lang w:eastAsia="zh-CN"/>
              </w:rPr>
            </w:pPr>
            <w:r>
              <w:rPr>
                <w:rFonts w:hint="eastAsia" w:ascii="黑体" w:hAnsi="黑体" w:eastAsia="黑体" w:cs="黑体"/>
                <w:color w:val="000000"/>
                <w:kern w:val="0"/>
                <w:sz w:val="18"/>
                <w:szCs w:val="18"/>
                <w:lang w:eastAsia="zh-CN"/>
              </w:rPr>
              <w:t>住建局</w:t>
            </w:r>
          </w:p>
          <w:p>
            <w:pPr>
              <w:widowControl/>
              <w:jc w:val="left"/>
              <w:rPr>
                <w:rFonts w:hint="eastAsia" w:ascii="黑体" w:hAnsi="黑体" w:eastAsia="黑体" w:cs="黑体"/>
                <w:color w:val="000000"/>
                <w:kern w:val="0"/>
                <w:sz w:val="18"/>
                <w:szCs w:val="18"/>
                <w:lang w:eastAsia="zh-CN"/>
              </w:rPr>
            </w:pPr>
          </w:p>
        </w:tc>
        <w:tc>
          <w:tcPr>
            <w:tcW w:w="2204" w:type="dxa"/>
            <w:vMerge w:val="restart"/>
            <w:noWrap w:val="0"/>
            <w:vAlign w:val="center"/>
          </w:tcPr>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政府门户网站、政务新媒体、广播、电视、报纸、公示栏等平台和办事大厅、便民服务窗口等场所</w:t>
            </w:r>
          </w:p>
        </w:tc>
        <w:tc>
          <w:tcPr>
            <w:tcW w:w="683"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vMerge w:val="restart"/>
            <w:noWrap w:val="0"/>
            <w:vAlign w:val="center"/>
          </w:tcPr>
          <w:p>
            <w:pPr>
              <w:jc w:val="left"/>
              <w:rPr>
                <w:rFonts w:hint="eastAsia" w:ascii="黑体" w:hAnsi="黑体" w:eastAsia="黑体" w:cs="黑体"/>
                <w:color w:val="000000"/>
                <w:sz w:val="18"/>
                <w:szCs w:val="18"/>
              </w:rPr>
            </w:pPr>
          </w:p>
        </w:tc>
        <w:tc>
          <w:tcPr>
            <w:tcW w:w="622"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vMerge w:val="restart"/>
            <w:noWrap w:val="0"/>
            <w:vAlign w:val="center"/>
          </w:tcPr>
          <w:p>
            <w:pPr>
              <w:jc w:val="left"/>
              <w:rPr>
                <w:rFonts w:hint="eastAsia" w:ascii="黑体" w:hAnsi="黑体" w:eastAsia="黑体" w:cs="黑体"/>
                <w:color w:val="000000"/>
                <w:sz w:val="18"/>
                <w:szCs w:val="18"/>
              </w:rPr>
            </w:pPr>
          </w:p>
        </w:tc>
        <w:tc>
          <w:tcPr>
            <w:tcW w:w="56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3</w:t>
            </w:r>
          </w:p>
        </w:tc>
        <w:tc>
          <w:tcPr>
            <w:tcW w:w="755" w:type="dxa"/>
            <w:vMerge w:val="continue"/>
            <w:noWrap w:val="0"/>
            <w:vAlign w:val="center"/>
          </w:tcPr>
          <w:p>
            <w:pPr>
              <w:jc w:val="left"/>
              <w:rPr>
                <w:rFonts w:hint="eastAsia" w:ascii="黑体" w:hAnsi="黑体" w:eastAsia="黑体" w:cs="黑体"/>
                <w:color w:val="000000"/>
                <w:sz w:val="18"/>
                <w:szCs w:val="18"/>
              </w:rPr>
            </w:pP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本级政策解读</w:t>
            </w:r>
          </w:p>
        </w:tc>
        <w:tc>
          <w:tcPr>
            <w:tcW w:w="2700" w:type="dxa"/>
            <w:vMerge w:val="continue"/>
            <w:noWrap w:val="0"/>
            <w:vAlign w:val="center"/>
          </w:tcPr>
          <w:p>
            <w:pPr>
              <w:widowControl/>
              <w:jc w:val="left"/>
              <w:rPr>
                <w:rFonts w:hint="eastAsia" w:ascii="黑体" w:hAnsi="黑体" w:eastAsia="黑体" w:cs="黑体"/>
                <w:color w:val="000000"/>
                <w:sz w:val="18"/>
                <w:szCs w:val="18"/>
              </w:rPr>
            </w:pPr>
          </w:p>
        </w:tc>
        <w:tc>
          <w:tcPr>
            <w:tcW w:w="1995" w:type="dxa"/>
            <w:vMerge w:val="continue"/>
            <w:noWrap w:val="0"/>
            <w:vAlign w:val="center"/>
          </w:tcPr>
          <w:p>
            <w:pPr>
              <w:widowControl/>
              <w:jc w:val="left"/>
              <w:rPr>
                <w:rFonts w:hint="eastAsia" w:ascii="黑体" w:hAnsi="黑体" w:eastAsia="黑体" w:cs="黑体"/>
                <w:color w:val="000000"/>
                <w:sz w:val="18"/>
                <w:szCs w:val="18"/>
              </w:rPr>
            </w:pPr>
          </w:p>
        </w:tc>
        <w:tc>
          <w:tcPr>
            <w:tcW w:w="1215" w:type="dxa"/>
            <w:vMerge w:val="continue"/>
            <w:noWrap w:val="0"/>
            <w:vAlign w:val="center"/>
          </w:tcPr>
          <w:p>
            <w:pPr>
              <w:widowControl/>
              <w:jc w:val="left"/>
              <w:rPr>
                <w:rFonts w:hint="eastAsia" w:ascii="黑体" w:hAnsi="黑体" w:eastAsia="黑体" w:cs="黑体"/>
                <w:color w:val="000000"/>
                <w:sz w:val="18"/>
                <w:szCs w:val="18"/>
              </w:rPr>
            </w:pPr>
          </w:p>
        </w:tc>
        <w:tc>
          <w:tcPr>
            <w:tcW w:w="1111" w:type="dxa"/>
            <w:vMerge w:val="continue"/>
            <w:noWrap w:val="0"/>
            <w:vAlign w:val="center"/>
          </w:tcPr>
          <w:p>
            <w:pPr>
              <w:widowControl/>
              <w:jc w:val="left"/>
              <w:rPr>
                <w:rFonts w:hint="eastAsia" w:ascii="黑体" w:hAnsi="黑体" w:eastAsia="黑体" w:cs="黑体"/>
                <w:color w:val="000000"/>
                <w:sz w:val="18"/>
                <w:szCs w:val="18"/>
              </w:rPr>
            </w:pPr>
          </w:p>
        </w:tc>
        <w:tc>
          <w:tcPr>
            <w:tcW w:w="2204" w:type="dxa"/>
            <w:vMerge w:val="continue"/>
            <w:noWrap w:val="0"/>
            <w:vAlign w:val="center"/>
          </w:tcPr>
          <w:p>
            <w:pPr>
              <w:widowControl/>
              <w:jc w:val="left"/>
              <w:rPr>
                <w:rFonts w:hint="eastAsia" w:ascii="黑体" w:hAnsi="黑体" w:eastAsia="黑体" w:cs="黑体"/>
                <w:color w:val="000000"/>
                <w:sz w:val="18"/>
                <w:szCs w:val="18"/>
              </w:rPr>
            </w:pPr>
          </w:p>
        </w:tc>
        <w:tc>
          <w:tcPr>
            <w:tcW w:w="683" w:type="dxa"/>
            <w:vMerge w:val="continue"/>
            <w:noWrap w:val="0"/>
            <w:vAlign w:val="center"/>
          </w:tcPr>
          <w:p>
            <w:pPr>
              <w:jc w:val="left"/>
              <w:rPr>
                <w:rFonts w:hint="eastAsia" w:ascii="黑体" w:hAnsi="黑体" w:eastAsia="黑体" w:cs="黑体"/>
                <w:color w:val="000000"/>
                <w:sz w:val="18"/>
                <w:szCs w:val="18"/>
              </w:rPr>
            </w:pPr>
          </w:p>
        </w:tc>
        <w:tc>
          <w:tcPr>
            <w:tcW w:w="607" w:type="dxa"/>
            <w:vMerge w:val="continue"/>
            <w:noWrap w:val="0"/>
            <w:vAlign w:val="center"/>
          </w:tcPr>
          <w:p>
            <w:pPr>
              <w:jc w:val="left"/>
              <w:rPr>
                <w:rFonts w:hint="eastAsia" w:ascii="黑体" w:hAnsi="黑体" w:eastAsia="黑体" w:cs="黑体"/>
                <w:color w:val="000000"/>
                <w:sz w:val="18"/>
                <w:szCs w:val="18"/>
              </w:rPr>
            </w:pPr>
          </w:p>
        </w:tc>
        <w:tc>
          <w:tcPr>
            <w:tcW w:w="622" w:type="dxa"/>
            <w:vMerge w:val="continue"/>
            <w:noWrap w:val="0"/>
            <w:vAlign w:val="center"/>
          </w:tcPr>
          <w:p>
            <w:pPr>
              <w:jc w:val="left"/>
              <w:rPr>
                <w:rFonts w:hint="eastAsia" w:ascii="黑体" w:hAnsi="黑体" w:eastAsia="黑体" w:cs="黑体"/>
                <w:color w:val="000000"/>
                <w:sz w:val="18"/>
                <w:szCs w:val="18"/>
              </w:rPr>
            </w:pPr>
          </w:p>
        </w:tc>
        <w:tc>
          <w:tcPr>
            <w:tcW w:w="819" w:type="dxa"/>
            <w:vMerge w:val="continue"/>
            <w:noWrap w:val="0"/>
            <w:vAlign w:val="center"/>
          </w:tcPr>
          <w:p>
            <w:pPr>
              <w:jc w:val="left"/>
              <w:rPr>
                <w:rFonts w:hint="eastAsia" w:ascii="黑体" w:hAnsi="黑体" w:eastAsia="黑体" w:cs="黑体"/>
                <w:color w:val="000000"/>
                <w:sz w:val="18"/>
                <w:szCs w:val="18"/>
              </w:rPr>
            </w:pPr>
          </w:p>
        </w:tc>
        <w:tc>
          <w:tcPr>
            <w:tcW w:w="565" w:type="dxa"/>
            <w:vMerge w:val="continue"/>
            <w:noWrap w:val="0"/>
            <w:vAlign w:val="center"/>
          </w:tcPr>
          <w:p>
            <w:pPr>
              <w:jc w:val="left"/>
              <w:rPr>
                <w:rFonts w:hint="eastAsia" w:ascii="黑体" w:hAnsi="黑体" w:eastAsia="黑体" w:cs="黑体"/>
                <w:color w:val="000000"/>
                <w:sz w:val="18"/>
                <w:szCs w:val="18"/>
              </w:rPr>
            </w:pPr>
          </w:p>
        </w:tc>
        <w:tc>
          <w:tcPr>
            <w:tcW w:w="728" w:type="dxa"/>
            <w:vMerge w:val="continue"/>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4</w:t>
            </w:r>
          </w:p>
        </w:tc>
        <w:tc>
          <w:tcPr>
            <w:tcW w:w="75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计划实施</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任务分配</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lang w:eastAsia="zh-CN"/>
              </w:rPr>
              <w:t>吉建联发〔</w:t>
            </w:r>
            <w:r>
              <w:rPr>
                <w:rFonts w:hint="eastAsia" w:ascii="黑体" w:hAnsi="黑体" w:eastAsia="黑体" w:cs="黑体"/>
                <w:color w:val="000000"/>
                <w:sz w:val="18"/>
                <w:szCs w:val="18"/>
                <w:lang w:val="en-US" w:eastAsia="zh-CN"/>
              </w:rPr>
              <w:t>2018〕29号关于下达2019年四类重点对象危房改造任务计划的通知（第一批）</w:t>
            </w:r>
          </w:p>
        </w:tc>
        <w:tc>
          <w:tcPr>
            <w:tcW w:w="1995" w:type="dxa"/>
            <w:vMerge w:val="restart"/>
            <w:noWrap w:val="0"/>
            <w:vAlign w:val="center"/>
          </w:tcPr>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《住房城乡建设部 财政部 国务院扶贫办关于加强和完善建档立卡贫困户等重点对象农村危房改造若干问题的通知》等</w:t>
            </w:r>
          </w:p>
        </w:tc>
        <w:tc>
          <w:tcPr>
            <w:tcW w:w="1215" w:type="dxa"/>
            <w:noWrap w:val="0"/>
            <w:vAlign w:val="center"/>
          </w:tcPr>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分配结果确定后20个工作日内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办事大厅、公示栏、便民服务窗口等场所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p>
          <w:p>
            <w:pPr>
              <w:jc w:val="left"/>
              <w:rPr>
                <w:rFonts w:hint="eastAsia" w:ascii="黑体" w:hAnsi="黑体" w:eastAsia="黑体" w:cs="黑体"/>
                <w:color w:val="000000"/>
                <w:sz w:val="18"/>
                <w:szCs w:val="18"/>
              </w:rPr>
            </w:pP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5</w:t>
            </w:r>
          </w:p>
        </w:tc>
        <w:tc>
          <w:tcPr>
            <w:tcW w:w="755" w:type="dxa"/>
            <w:vMerge w:val="continue"/>
            <w:noWrap w:val="0"/>
            <w:vAlign w:val="center"/>
          </w:tcPr>
          <w:p>
            <w:pPr>
              <w:jc w:val="left"/>
              <w:rPr>
                <w:rFonts w:hint="eastAsia" w:ascii="黑体" w:hAnsi="黑体" w:eastAsia="黑体" w:cs="黑体"/>
                <w:color w:val="000000"/>
                <w:sz w:val="18"/>
                <w:szCs w:val="18"/>
              </w:rPr>
            </w:pP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组织培训</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组织开展农村建筑工匠培训文件</w:t>
            </w:r>
          </w:p>
        </w:tc>
        <w:tc>
          <w:tcPr>
            <w:tcW w:w="1995" w:type="dxa"/>
            <w:vMerge w:val="continue"/>
            <w:noWrap w:val="0"/>
            <w:vAlign w:val="center"/>
          </w:tcPr>
          <w:p>
            <w:pPr>
              <w:widowControl/>
              <w:jc w:val="left"/>
              <w:rPr>
                <w:rFonts w:hint="eastAsia" w:ascii="黑体" w:hAnsi="黑体" w:eastAsia="黑体" w:cs="黑体"/>
                <w:color w:val="000000"/>
                <w:sz w:val="18"/>
                <w:szCs w:val="18"/>
              </w:rPr>
            </w:pP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政府门户网站、公示栏等平台和办事大厅、便民服务窗口等场所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6</w:t>
            </w:r>
          </w:p>
        </w:tc>
        <w:tc>
          <w:tcPr>
            <w:tcW w:w="75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条件与标准</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农村危房等级评定标准</w:t>
            </w:r>
          </w:p>
        </w:tc>
        <w:tc>
          <w:tcPr>
            <w:tcW w:w="2700" w:type="dxa"/>
            <w:noWrap w:val="0"/>
            <w:vAlign w:val="center"/>
          </w:tcPr>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 xml:space="preserve">农村危险房屋是指依据住房和城乡建设部《农村危险房屋鉴定技术 导则（试行）》（建村函〔2009〕69号）或《住房城乡建设 </w:t>
            </w:r>
          </w:p>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 xml:space="preserve">部 财政部 国务院扶贫办关于加强和完善建档立卡贫困户等重点对象农村危房改造若干问题的通知》(建村〔2017〕192 </w:t>
            </w:r>
          </w:p>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 xml:space="preserve">号)简易评定方法，评定为场地危险或鉴定为 D 级、C 级的房 </w:t>
            </w:r>
          </w:p>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屋。</w:t>
            </w:r>
          </w:p>
          <w:p>
            <w:pPr>
              <w:jc w:val="left"/>
              <w:rPr>
                <w:rFonts w:hint="eastAsia" w:ascii="黑体" w:hAnsi="黑体" w:eastAsia="黑体" w:cs="黑体"/>
                <w:color w:val="000000"/>
                <w:sz w:val="18"/>
                <w:szCs w:val="18"/>
              </w:rPr>
            </w:pPr>
          </w:p>
        </w:tc>
        <w:tc>
          <w:tcPr>
            <w:tcW w:w="199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政府门户网站、公示栏等平台和办事大厅、便民服务窗口等场所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7</w:t>
            </w:r>
          </w:p>
        </w:tc>
        <w:tc>
          <w:tcPr>
            <w:tcW w:w="755" w:type="dxa"/>
            <w:vMerge w:val="continue"/>
            <w:noWrap w:val="0"/>
            <w:vAlign w:val="center"/>
          </w:tcPr>
          <w:p>
            <w:pPr>
              <w:jc w:val="left"/>
              <w:rPr>
                <w:rFonts w:hint="eastAsia" w:ascii="黑体" w:hAnsi="黑体" w:eastAsia="黑体" w:cs="黑体"/>
                <w:color w:val="000000"/>
                <w:sz w:val="18"/>
                <w:szCs w:val="18"/>
              </w:rPr>
            </w:pP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农村危房改造对象申请条件</w:t>
            </w:r>
          </w:p>
        </w:tc>
        <w:tc>
          <w:tcPr>
            <w:tcW w:w="2700" w:type="dxa"/>
            <w:noWrap w:val="0"/>
            <w:vAlign w:val="center"/>
          </w:tcPr>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 xml:space="preserve">农村危房改造补助对象是具有农村户 </w:t>
            </w:r>
          </w:p>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 xml:space="preserve">— 4 —口且居住在危险房屋中的建档立卡贫困户、分散供养特困人员、低保户、贫困残疾人家庭和其他贫困户。贫困户类型由县级民政、扶贫、残联等部门按照《吉林省人民政府办公厅关于转发省住房城乡建设厅关于“十三五”期间推进农村危房改造工作实施意见的通知》（吉政办明电〔2016〕65号） </w:t>
            </w:r>
          </w:p>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要求，根据有关规定予以认定，并出具贫困户证明。</w:t>
            </w:r>
          </w:p>
          <w:p>
            <w:pPr>
              <w:jc w:val="left"/>
              <w:rPr>
                <w:rFonts w:hint="eastAsia" w:ascii="黑体" w:hAnsi="黑体" w:eastAsia="黑体" w:cs="黑体"/>
                <w:color w:val="000000"/>
                <w:sz w:val="18"/>
                <w:szCs w:val="18"/>
              </w:rPr>
            </w:pPr>
          </w:p>
        </w:tc>
        <w:tc>
          <w:tcPr>
            <w:tcW w:w="199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同上</w:t>
            </w: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政府门户网站、公示栏等平台和办事大厅、便民服务窗口等场所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8</w:t>
            </w:r>
          </w:p>
        </w:tc>
        <w:tc>
          <w:tcPr>
            <w:tcW w:w="75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条件与标准</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农村危房改造资金补助标准</w:t>
            </w:r>
          </w:p>
        </w:tc>
        <w:tc>
          <w:tcPr>
            <w:tcW w:w="2700" w:type="dxa"/>
            <w:noWrap w:val="0"/>
            <w:vAlign w:val="center"/>
          </w:tcPr>
          <w:p>
            <w:pPr>
              <w:keepNext w:val="0"/>
              <w:keepLines w:val="0"/>
              <w:widowControl/>
              <w:suppressLineNumbers w:val="0"/>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val="en-US" w:eastAsia="zh-CN" w:bidi="ar"/>
              </w:rPr>
              <w:t>我省农村危房改造户均补助 15750 元，在此基础上，国家级贫困县每户再增加 1000 元。</w:t>
            </w:r>
          </w:p>
        </w:tc>
        <w:tc>
          <w:tcPr>
            <w:tcW w:w="199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同上</w:t>
            </w: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政府门户网站、公示栏等平台和办事大厅、便民服务窗口等场所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9</w:t>
            </w:r>
          </w:p>
        </w:tc>
        <w:tc>
          <w:tcPr>
            <w:tcW w:w="755" w:type="dxa"/>
            <w:vMerge w:val="continue"/>
            <w:noWrap w:val="0"/>
            <w:vAlign w:val="center"/>
          </w:tcPr>
          <w:p>
            <w:pPr>
              <w:jc w:val="left"/>
              <w:rPr>
                <w:rFonts w:hint="eastAsia" w:ascii="黑体" w:hAnsi="黑体" w:eastAsia="黑体" w:cs="黑体"/>
                <w:color w:val="000000"/>
                <w:sz w:val="18"/>
                <w:szCs w:val="18"/>
              </w:rPr>
            </w:pP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农村危房改造竣工合格标准</w:t>
            </w:r>
          </w:p>
        </w:tc>
        <w:tc>
          <w:tcPr>
            <w:tcW w:w="2700" w:type="dxa"/>
            <w:noWrap w:val="0"/>
            <w:vAlign w:val="center"/>
          </w:tcPr>
          <w:p>
            <w:pPr>
              <w:keepNext w:val="0"/>
              <w:keepLines w:val="0"/>
              <w:widowControl/>
              <w:suppressLineNumbers w:val="0"/>
              <w:jc w:val="left"/>
              <w:rPr>
                <w:rFonts w:hint="eastAsia" w:ascii="黑体" w:hAnsi="黑体" w:eastAsia="黑体" w:cs="黑体"/>
                <w:sz w:val="18"/>
                <w:szCs w:val="18"/>
              </w:rPr>
            </w:pPr>
            <w:r>
              <w:rPr>
                <w:rFonts w:hint="eastAsia" w:ascii="黑体" w:hAnsi="黑体" w:eastAsia="黑体" w:cs="黑体"/>
                <w:color w:val="000000"/>
                <w:kern w:val="0"/>
                <w:sz w:val="18"/>
                <w:szCs w:val="18"/>
                <w:lang w:val="en-US" w:eastAsia="zh-CN" w:bidi="ar"/>
              </w:rPr>
              <w:t xml:space="preserve">危房改造结束后要按照《吉林省农村贫困户住房安全保障基本技术要求（试行）》逐户逐项检查，不合格的要 </w:t>
            </w:r>
          </w:p>
          <w:p>
            <w:pPr>
              <w:keepNext w:val="0"/>
              <w:keepLines w:val="0"/>
              <w:widowControl/>
              <w:suppressLineNumbers w:val="0"/>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val="en-US" w:eastAsia="zh-CN" w:bidi="ar"/>
              </w:rPr>
              <w:t>按照标准整改到位，符合农村危房改造操作流程并竣工验收合格的，及时将补助资金打卡发放到户，确保资金安全、高效、透明发放到农户手中，真正使农村危房改造这项民生工程成为贫困户心目中的暖心工程。</w:t>
            </w:r>
          </w:p>
        </w:tc>
        <w:tc>
          <w:tcPr>
            <w:tcW w:w="199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同上</w:t>
            </w: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政府门户网站、公示栏等平台和办事大厅、便民服务窗口等场所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10</w:t>
            </w:r>
          </w:p>
        </w:tc>
        <w:tc>
          <w:tcPr>
            <w:tcW w:w="75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对象认定</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危改户认定程序</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农村危房改造申请程序</w:t>
            </w:r>
          </w:p>
        </w:tc>
        <w:tc>
          <w:tcPr>
            <w:tcW w:w="199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同上</w:t>
            </w: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政府门户网站、公示栏等平台和办事大厅、便民服务窗口等场所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11</w:t>
            </w:r>
          </w:p>
        </w:tc>
        <w:tc>
          <w:tcPr>
            <w:tcW w:w="755" w:type="dxa"/>
            <w:vMerge w:val="continue"/>
            <w:noWrap w:val="0"/>
            <w:vAlign w:val="center"/>
          </w:tcPr>
          <w:p>
            <w:pPr>
              <w:jc w:val="left"/>
              <w:rPr>
                <w:rFonts w:hint="eastAsia" w:ascii="黑体" w:hAnsi="黑体" w:eastAsia="黑体" w:cs="黑体"/>
                <w:color w:val="000000"/>
                <w:sz w:val="18"/>
                <w:szCs w:val="18"/>
              </w:rPr>
            </w:pP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认定结果</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认定结果</w:t>
            </w:r>
          </w:p>
        </w:tc>
        <w:tc>
          <w:tcPr>
            <w:tcW w:w="199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同上</w:t>
            </w: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办事大厅、公示栏、便民服务窗口等场所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12</w:t>
            </w:r>
          </w:p>
        </w:tc>
        <w:tc>
          <w:tcPr>
            <w:tcW w:w="75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预算管理</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预算编制和执行情况</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预算、预算调整、决算、预算执行情况的报告及报表有关内容，部门预算、决算及报表有关内容</w:t>
            </w:r>
          </w:p>
        </w:tc>
        <w:tc>
          <w:tcPr>
            <w:tcW w:w="199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同上</w:t>
            </w: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经县级人民代表大会、人民代表大会常务委员会批准或财政部门批复后20日内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办事大厅、公示栏、便民服务窗口等场所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13</w:t>
            </w:r>
          </w:p>
        </w:tc>
        <w:tc>
          <w:tcPr>
            <w:tcW w:w="75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决策部署</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决策部署落实情况</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决策部署落实情况等</w:t>
            </w:r>
          </w:p>
        </w:tc>
        <w:tc>
          <w:tcPr>
            <w:tcW w:w="199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《关于全面推进政务公开工作的意见》及其实施细则</w:t>
            </w: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办事大厅、公示栏、便民服务窗口等场所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14</w:t>
            </w:r>
          </w:p>
        </w:tc>
        <w:tc>
          <w:tcPr>
            <w:tcW w:w="75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年度任务实施</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年度任务执行情况</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lang w:val="en-US" w:eastAsia="zh-CN"/>
              </w:rPr>
              <w:t>2019年完成农村危房改造任务399户。</w:t>
            </w:r>
          </w:p>
        </w:tc>
        <w:tc>
          <w:tcPr>
            <w:tcW w:w="1995" w:type="dxa"/>
            <w:vMerge w:val="continue"/>
            <w:noWrap w:val="0"/>
            <w:vAlign w:val="center"/>
          </w:tcPr>
          <w:p>
            <w:pPr>
              <w:jc w:val="left"/>
              <w:rPr>
                <w:rFonts w:hint="eastAsia" w:ascii="黑体" w:hAnsi="黑体" w:eastAsia="黑体" w:cs="黑体"/>
                <w:color w:val="000000"/>
                <w:sz w:val="18"/>
                <w:szCs w:val="18"/>
              </w:rPr>
            </w:pP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信息形成之日起20个工作日内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办事大厅、公示栏、便民服务窗口等场所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15</w:t>
            </w:r>
          </w:p>
        </w:tc>
        <w:tc>
          <w:tcPr>
            <w:tcW w:w="75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舆情收集、热点及关键问题回应</w:t>
            </w: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舆情收集回应</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接受投诉、咨询、建议等联系电话、通信地址等</w:t>
            </w:r>
          </w:p>
        </w:tc>
        <w:tc>
          <w:tcPr>
            <w:tcW w:w="1995" w:type="dxa"/>
            <w:vMerge w:val="restart"/>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《政府信息公开条例》、《关于全面推进政务公开工作的意见》及其实施细则</w:t>
            </w:r>
          </w:p>
        </w:tc>
        <w:tc>
          <w:tcPr>
            <w:tcW w:w="1215" w:type="dxa"/>
            <w:noWrap w:val="0"/>
            <w:vAlign w:val="center"/>
          </w:tcPr>
          <w:p>
            <w:pPr>
              <w:ind w:right="-304" w:rightChars="-145"/>
              <w:jc w:val="left"/>
              <w:rPr>
                <w:rFonts w:hint="eastAsia" w:ascii="黑体" w:hAnsi="黑体" w:eastAsia="黑体" w:cs="黑体"/>
                <w:color w:val="000000"/>
                <w:sz w:val="18"/>
                <w:szCs w:val="18"/>
              </w:rPr>
            </w:pPr>
            <w:r>
              <w:rPr>
                <w:rFonts w:hint="eastAsia" w:ascii="黑体" w:hAnsi="黑体" w:eastAsia="黑体" w:cs="黑体"/>
                <w:color w:val="000000"/>
                <w:sz w:val="18"/>
                <w:szCs w:val="18"/>
              </w:rPr>
              <w:t>信息形成之日</w:t>
            </w:r>
          </w:p>
          <w:p>
            <w:pPr>
              <w:ind w:right="-304" w:rightChars="-145"/>
              <w:jc w:val="left"/>
              <w:rPr>
                <w:rFonts w:hint="eastAsia" w:ascii="黑体" w:hAnsi="黑体" w:eastAsia="黑体" w:cs="黑体"/>
                <w:color w:val="000000"/>
                <w:sz w:val="18"/>
                <w:szCs w:val="18"/>
              </w:rPr>
            </w:pPr>
            <w:r>
              <w:rPr>
                <w:rFonts w:hint="eastAsia" w:ascii="黑体" w:hAnsi="黑体" w:eastAsia="黑体" w:cs="黑体"/>
                <w:color w:val="000000"/>
                <w:sz w:val="18"/>
                <w:szCs w:val="18"/>
              </w:rPr>
              <w:t>起20个工作日</w:t>
            </w:r>
          </w:p>
          <w:p>
            <w:pPr>
              <w:ind w:right="-304" w:rightChars="-145"/>
              <w:jc w:val="left"/>
              <w:rPr>
                <w:rFonts w:hint="eastAsia" w:ascii="黑体" w:hAnsi="黑体" w:eastAsia="黑体" w:cs="黑体"/>
                <w:color w:val="000000"/>
                <w:sz w:val="18"/>
                <w:szCs w:val="18"/>
              </w:rPr>
            </w:pPr>
            <w:r>
              <w:rPr>
                <w:rFonts w:hint="eastAsia" w:ascii="黑体" w:hAnsi="黑体" w:eastAsia="黑体" w:cs="黑体"/>
                <w:color w:val="000000"/>
                <w:sz w:val="18"/>
                <w:szCs w:val="18"/>
              </w:rPr>
              <w:t>内</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政府门户网站、政务新媒体、广播、电视、报纸、公示栏等平台和办事大厅、便民服务窗口等场所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widowControl/>
              <w:jc w:val="left"/>
              <w:rPr>
                <w:rFonts w:hint="eastAsia" w:ascii="黑体" w:hAnsi="黑体" w:eastAsia="黑体" w:cs="黑体"/>
                <w:color w:val="000000"/>
                <w:kern w:val="0"/>
                <w:sz w:val="18"/>
                <w:szCs w:val="18"/>
              </w:rPr>
            </w:pPr>
            <w:r>
              <w:rPr>
                <w:rFonts w:hint="eastAsia" w:ascii="黑体" w:hAnsi="黑体" w:eastAsia="黑体" w:cs="黑体"/>
                <w:color w:val="000000"/>
                <w:kern w:val="0"/>
                <w:sz w:val="18"/>
                <w:szCs w:val="18"/>
              </w:rPr>
              <w:t>16</w:t>
            </w:r>
          </w:p>
        </w:tc>
        <w:tc>
          <w:tcPr>
            <w:tcW w:w="755" w:type="dxa"/>
            <w:vMerge w:val="continue"/>
            <w:noWrap w:val="0"/>
            <w:vAlign w:val="center"/>
          </w:tcPr>
          <w:p>
            <w:pPr>
              <w:jc w:val="left"/>
              <w:rPr>
                <w:rFonts w:hint="eastAsia" w:ascii="黑体" w:hAnsi="黑体" w:eastAsia="黑体" w:cs="黑体"/>
                <w:color w:val="000000"/>
                <w:sz w:val="18"/>
                <w:szCs w:val="18"/>
              </w:rPr>
            </w:pPr>
          </w:p>
        </w:tc>
        <w:tc>
          <w:tcPr>
            <w:tcW w:w="110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互动回应</w:t>
            </w:r>
          </w:p>
        </w:tc>
        <w:tc>
          <w:tcPr>
            <w:tcW w:w="2700"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涉及群众切身利益和舆论关注的焦点、热点及关键问题等回应内容</w:t>
            </w:r>
          </w:p>
        </w:tc>
        <w:tc>
          <w:tcPr>
            <w:tcW w:w="1995" w:type="dxa"/>
            <w:vMerge w:val="continue"/>
            <w:noWrap w:val="0"/>
            <w:vAlign w:val="center"/>
          </w:tcPr>
          <w:p>
            <w:pPr>
              <w:jc w:val="left"/>
              <w:rPr>
                <w:rFonts w:hint="eastAsia" w:ascii="黑体" w:hAnsi="黑体" w:eastAsia="黑体" w:cs="黑体"/>
                <w:color w:val="000000"/>
                <w:sz w:val="18"/>
                <w:szCs w:val="18"/>
              </w:rPr>
            </w:pPr>
          </w:p>
        </w:tc>
        <w:tc>
          <w:tcPr>
            <w:tcW w:w="1215"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及时发布信息；对涉及重大舆情的，要快速反应，并根据工作进展情况，持续发布信息。</w:t>
            </w:r>
          </w:p>
        </w:tc>
        <w:tc>
          <w:tcPr>
            <w:tcW w:w="1111"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kern w:val="0"/>
                <w:sz w:val="18"/>
                <w:szCs w:val="18"/>
                <w:lang w:eastAsia="zh-CN"/>
              </w:rPr>
              <w:t>住建局</w:t>
            </w:r>
          </w:p>
        </w:tc>
        <w:tc>
          <w:tcPr>
            <w:tcW w:w="2204"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办事大厅、公示栏、便民服务窗口等场所</w:t>
            </w:r>
          </w:p>
        </w:tc>
        <w:tc>
          <w:tcPr>
            <w:tcW w:w="683"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607" w:type="dxa"/>
            <w:noWrap w:val="0"/>
            <w:vAlign w:val="center"/>
          </w:tcPr>
          <w:p>
            <w:pPr>
              <w:jc w:val="left"/>
              <w:rPr>
                <w:rFonts w:hint="eastAsia" w:ascii="黑体" w:hAnsi="黑体" w:eastAsia="黑体" w:cs="黑体"/>
                <w:color w:val="000000"/>
                <w:sz w:val="18"/>
                <w:szCs w:val="18"/>
              </w:rPr>
            </w:pPr>
          </w:p>
        </w:tc>
        <w:tc>
          <w:tcPr>
            <w:tcW w:w="622"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819" w:type="dxa"/>
            <w:noWrap w:val="0"/>
            <w:vAlign w:val="center"/>
          </w:tcPr>
          <w:p>
            <w:pPr>
              <w:jc w:val="left"/>
              <w:rPr>
                <w:rFonts w:hint="eastAsia" w:ascii="黑体" w:hAnsi="黑体" w:eastAsia="黑体" w:cs="黑体"/>
                <w:color w:val="000000"/>
                <w:sz w:val="18"/>
                <w:szCs w:val="18"/>
              </w:rPr>
            </w:pPr>
          </w:p>
        </w:tc>
        <w:tc>
          <w:tcPr>
            <w:tcW w:w="565" w:type="dxa"/>
            <w:noWrap w:val="0"/>
            <w:vAlign w:val="center"/>
          </w:tcPr>
          <w:p>
            <w:pPr>
              <w:jc w:val="left"/>
              <w:rPr>
                <w:rFonts w:hint="eastAsia" w:ascii="黑体" w:hAnsi="黑体" w:eastAsia="黑体" w:cs="黑体"/>
                <w:color w:val="000000"/>
                <w:sz w:val="18"/>
                <w:szCs w:val="18"/>
              </w:rPr>
            </w:pPr>
          </w:p>
        </w:tc>
        <w:tc>
          <w:tcPr>
            <w:tcW w:w="728" w:type="dxa"/>
            <w:noWrap w:val="0"/>
            <w:vAlign w:val="center"/>
          </w:tcPr>
          <w:p>
            <w:pPr>
              <w:jc w:val="left"/>
              <w:rPr>
                <w:rFonts w:hint="eastAsia" w:ascii="黑体" w:hAnsi="黑体" w:eastAsia="黑体" w:cs="黑体"/>
                <w:color w:val="000000"/>
                <w:sz w:val="18"/>
                <w:szCs w:val="18"/>
              </w:rPr>
            </w:pPr>
            <w:r>
              <w:rPr>
                <w:rFonts w:hint="eastAsia" w:ascii="黑体" w:hAnsi="黑体" w:eastAsia="黑体" w:cs="黑体"/>
                <w:color w:val="000000"/>
                <w:sz w:val="18"/>
                <w:szCs w:val="18"/>
              </w:rPr>
              <w:t>√</w:t>
            </w:r>
          </w:p>
        </w:tc>
      </w:tr>
    </w:tbl>
    <w:p>
      <w:pPr>
        <w:jc w:val="center"/>
        <w:rPr>
          <w:rFonts w:ascii="仿宋_GB2312" w:hAnsi="Times New Roman" w:eastAsia="仿宋_GB2312"/>
          <w:sz w:val="18"/>
          <w:szCs w:val="18"/>
        </w:rPr>
      </w:pPr>
    </w:p>
    <w:p>
      <w:pPr>
        <w:pStyle w:val="2"/>
        <w:jc w:val="both"/>
        <w:outlineLvl w:val="9"/>
        <w:rPr>
          <w:rFonts w:hint="eastAsia" w:ascii="方正小标宋_GBK" w:hAnsi="方正小标宋_GBK" w:eastAsia="方正小标宋_GBK"/>
          <w:b w:val="0"/>
          <w:bCs w:val="0"/>
          <w:sz w:val="30"/>
        </w:rPr>
      </w:pPr>
    </w:p>
    <w:p>
      <w:pPr>
        <w:bidi w:val="0"/>
        <w:rPr>
          <w:rFonts w:hint="eastAsia"/>
        </w:rPr>
      </w:pPr>
    </w:p>
    <w:p>
      <w:pPr>
        <w:bidi w:val="0"/>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Tg2YjY5N2Q0YzllMjY1NTU5MjZkZDQ5ZmNkOTIifQ=="/>
  </w:docVars>
  <w:rsids>
    <w:rsidRoot w:val="3D5F7D6E"/>
    <w:rsid w:val="3D5F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中宋" w:cs="永中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2022-11-16T02:35:00Z</dcterms:created>
  <dc:creator>Administrator</dc:creator>
  <cp:lastModifiedBy>Administrator</cp:lastModifiedBy>
  <dcterms:modified xsi:type="dcterms:W3CDTF">2022-11-16T02:35:44Z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964F36AC1D874C6D8273458B543EC15B</vt:lpwstr>
  </property>
</Properties>
</file>