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sz w:val="32"/>
          <w:szCs w:val="32"/>
        </w:rPr>
      </w:pPr>
      <w:bookmarkStart w:id="0" w:name="_GoBack"/>
      <w:r>
        <w:rPr>
          <w:rFonts w:hint="eastAsia"/>
          <w:sz w:val="32"/>
          <w:szCs w:val="32"/>
        </w:rPr>
        <w:t>（十七）市政服务领域基层政务公开标准目录</w:t>
      </w:r>
    </w:p>
    <w:bookmarkEnd w:id="0"/>
    <w:tbl>
      <w:tblPr>
        <w:tblStyle w:val="3"/>
        <w:tblW w:w="15658"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70"/>
        <w:gridCol w:w="1077"/>
        <w:gridCol w:w="3361"/>
        <w:gridCol w:w="1515"/>
        <w:gridCol w:w="1050"/>
        <w:gridCol w:w="1050"/>
        <w:gridCol w:w="2625"/>
        <w:gridCol w:w="735"/>
        <w:gridCol w:w="600"/>
        <w:gridCol w:w="555"/>
        <w:gridCol w:w="555"/>
        <w:gridCol w:w="577"/>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546"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序号</w:t>
            </w:r>
          </w:p>
        </w:tc>
        <w:tc>
          <w:tcPr>
            <w:tcW w:w="1847" w:type="dxa"/>
            <w:gridSpan w:val="2"/>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公开事项</w:t>
            </w:r>
          </w:p>
        </w:tc>
        <w:tc>
          <w:tcPr>
            <w:tcW w:w="3361"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公开内容</w:t>
            </w:r>
          </w:p>
        </w:tc>
        <w:tc>
          <w:tcPr>
            <w:tcW w:w="1515"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公开依据</w:t>
            </w:r>
          </w:p>
        </w:tc>
        <w:tc>
          <w:tcPr>
            <w:tcW w:w="1050"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公开时限</w:t>
            </w:r>
          </w:p>
        </w:tc>
        <w:tc>
          <w:tcPr>
            <w:tcW w:w="1050" w:type="dxa"/>
            <w:vMerge w:val="restart"/>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公开主体</w:t>
            </w:r>
          </w:p>
        </w:tc>
        <w:tc>
          <w:tcPr>
            <w:tcW w:w="2625" w:type="dxa"/>
            <w:vMerge w:val="restart"/>
            <w:noWrap w:val="0"/>
            <w:vAlign w:val="center"/>
          </w:tcPr>
          <w:p>
            <w:pPr>
              <w:keepNext w:val="0"/>
              <w:keepLines w:val="0"/>
              <w:widowControl/>
              <w:suppressLineNumbers w:val="0"/>
              <w:jc w:val="left"/>
              <w:textAlignment w:val="center"/>
              <w:rPr>
                <w:rFonts w:hint="eastAsia" w:ascii="黑体" w:hAnsi="黑体" w:eastAsia="黑体" w:cs="黑体"/>
                <w:b/>
                <w:bCs w:val="0"/>
                <w:kern w:val="0"/>
                <w:sz w:val="21"/>
                <w:szCs w:val="21"/>
              </w:rPr>
            </w:pPr>
            <w:r>
              <w:rPr>
                <w:rFonts w:hint="eastAsia" w:ascii="黑体" w:hAnsi="黑体" w:eastAsia="黑体" w:cs="黑体"/>
                <w:b/>
                <w:bCs w:val="0"/>
                <w:i w:val="0"/>
                <w:color w:val="000000"/>
                <w:kern w:val="0"/>
                <w:sz w:val="21"/>
                <w:szCs w:val="21"/>
                <w:u w:val="none"/>
                <w:lang w:val="en-US" w:eastAsia="zh-CN" w:bidi="ar"/>
              </w:rPr>
              <w:t xml:space="preserve">  公开渠道和载体               （“■”表示必选项，“□”表示可选项）</w:t>
            </w:r>
          </w:p>
        </w:tc>
        <w:tc>
          <w:tcPr>
            <w:tcW w:w="1335" w:type="dxa"/>
            <w:gridSpan w:val="2"/>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公开对象</w:t>
            </w:r>
          </w:p>
        </w:tc>
        <w:tc>
          <w:tcPr>
            <w:tcW w:w="1110" w:type="dxa"/>
            <w:gridSpan w:val="2"/>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公开方式</w:t>
            </w:r>
          </w:p>
        </w:tc>
        <w:tc>
          <w:tcPr>
            <w:tcW w:w="1219" w:type="dxa"/>
            <w:gridSpan w:val="2"/>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46" w:type="dxa"/>
            <w:vMerge w:val="continue"/>
            <w:noWrap w:val="0"/>
            <w:vAlign w:val="center"/>
          </w:tcPr>
          <w:p>
            <w:pPr>
              <w:jc w:val="center"/>
              <w:rPr>
                <w:rFonts w:hint="eastAsia" w:ascii="黑体" w:hAnsi="黑体" w:eastAsia="黑体" w:cs="黑体"/>
                <w:b/>
                <w:bCs w:val="0"/>
                <w:color w:val="000000"/>
                <w:kern w:val="0"/>
                <w:sz w:val="21"/>
                <w:szCs w:val="21"/>
              </w:rPr>
            </w:pPr>
          </w:p>
        </w:tc>
        <w:tc>
          <w:tcPr>
            <w:tcW w:w="770"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一级事项</w:t>
            </w:r>
          </w:p>
        </w:tc>
        <w:tc>
          <w:tcPr>
            <w:tcW w:w="1077"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二级事项</w:t>
            </w:r>
          </w:p>
        </w:tc>
        <w:tc>
          <w:tcPr>
            <w:tcW w:w="3361" w:type="dxa"/>
            <w:vMerge w:val="continue"/>
            <w:noWrap w:val="0"/>
            <w:vAlign w:val="center"/>
          </w:tcPr>
          <w:p>
            <w:pPr>
              <w:jc w:val="center"/>
              <w:rPr>
                <w:rFonts w:hint="eastAsia" w:ascii="黑体" w:hAnsi="黑体" w:eastAsia="黑体" w:cs="黑体"/>
                <w:b/>
                <w:bCs w:val="0"/>
                <w:color w:val="000000"/>
                <w:kern w:val="0"/>
                <w:sz w:val="21"/>
                <w:szCs w:val="21"/>
              </w:rPr>
            </w:pPr>
          </w:p>
        </w:tc>
        <w:tc>
          <w:tcPr>
            <w:tcW w:w="1515" w:type="dxa"/>
            <w:vMerge w:val="continue"/>
            <w:noWrap w:val="0"/>
            <w:vAlign w:val="center"/>
          </w:tcPr>
          <w:p>
            <w:pPr>
              <w:jc w:val="center"/>
              <w:rPr>
                <w:rFonts w:hint="eastAsia" w:ascii="黑体" w:hAnsi="黑体" w:eastAsia="黑体" w:cs="黑体"/>
                <w:b/>
                <w:bCs w:val="0"/>
                <w:color w:val="000000"/>
                <w:kern w:val="0"/>
                <w:sz w:val="21"/>
                <w:szCs w:val="21"/>
              </w:rPr>
            </w:pPr>
          </w:p>
        </w:tc>
        <w:tc>
          <w:tcPr>
            <w:tcW w:w="1050" w:type="dxa"/>
            <w:vMerge w:val="continue"/>
            <w:noWrap w:val="0"/>
            <w:vAlign w:val="center"/>
          </w:tcPr>
          <w:p>
            <w:pPr>
              <w:jc w:val="center"/>
              <w:rPr>
                <w:rFonts w:hint="eastAsia" w:ascii="黑体" w:hAnsi="黑体" w:eastAsia="黑体" w:cs="黑体"/>
                <w:b/>
                <w:bCs w:val="0"/>
                <w:color w:val="000000"/>
                <w:kern w:val="0"/>
                <w:sz w:val="21"/>
                <w:szCs w:val="21"/>
              </w:rPr>
            </w:pPr>
          </w:p>
        </w:tc>
        <w:tc>
          <w:tcPr>
            <w:tcW w:w="1050" w:type="dxa"/>
            <w:vMerge w:val="continue"/>
            <w:noWrap w:val="0"/>
            <w:vAlign w:val="center"/>
          </w:tcPr>
          <w:p>
            <w:pPr>
              <w:jc w:val="center"/>
              <w:rPr>
                <w:rFonts w:hint="eastAsia" w:ascii="黑体" w:hAnsi="黑体" w:eastAsia="黑体" w:cs="黑体"/>
                <w:b/>
                <w:bCs w:val="0"/>
                <w:color w:val="000000"/>
                <w:kern w:val="0"/>
                <w:sz w:val="21"/>
                <w:szCs w:val="21"/>
              </w:rPr>
            </w:pPr>
          </w:p>
        </w:tc>
        <w:tc>
          <w:tcPr>
            <w:tcW w:w="2625" w:type="dxa"/>
            <w:vMerge w:val="continue"/>
            <w:noWrap w:val="0"/>
            <w:vAlign w:val="center"/>
          </w:tcPr>
          <w:p>
            <w:pPr>
              <w:jc w:val="left"/>
              <w:rPr>
                <w:rFonts w:hint="eastAsia" w:ascii="黑体" w:hAnsi="黑体" w:eastAsia="黑体" w:cs="黑体"/>
                <w:b/>
                <w:bCs w:val="0"/>
                <w:kern w:val="0"/>
                <w:sz w:val="21"/>
                <w:szCs w:val="21"/>
              </w:rPr>
            </w:pPr>
          </w:p>
        </w:tc>
        <w:tc>
          <w:tcPr>
            <w:tcW w:w="735"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全社会</w:t>
            </w:r>
          </w:p>
        </w:tc>
        <w:tc>
          <w:tcPr>
            <w:tcW w:w="600"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特定 群体</w:t>
            </w:r>
          </w:p>
        </w:tc>
        <w:tc>
          <w:tcPr>
            <w:tcW w:w="555"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主动</w:t>
            </w:r>
          </w:p>
        </w:tc>
        <w:tc>
          <w:tcPr>
            <w:tcW w:w="555"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申请</w:t>
            </w:r>
          </w:p>
        </w:tc>
        <w:tc>
          <w:tcPr>
            <w:tcW w:w="577"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县级</w:t>
            </w:r>
          </w:p>
        </w:tc>
        <w:tc>
          <w:tcPr>
            <w:tcW w:w="642" w:type="dxa"/>
            <w:noWrap w:val="0"/>
            <w:vAlign w:val="center"/>
          </w:tcPr>
          <w:p>
            <w:pPr>
              <w:keepNext w:val="0"/>
              <w:keepLines w:val="0"/>
              <w:widowControl/>
              <w:suppressLineNumbers w:val="0"/>
              <w:jc w:val="center"/>
              <w:textAlignment w:val="center"/>
              <w:rPr>
                <w:rFonts w:hint="eastAsia" w:ascii="黑体" w:hAnsi="黑体" w:eastAsia="黑体" w:cs="黑体"/>
                <w:b/>
                <w:bCs w:val="0"/>
                <w:color w:val="000000"/>
                <w:kern w:val="0"/>
                <w:sz w:val="21"/>
                <w:szCs w:val="21"/>
              </w:rPr>
            </w:pPr>
            <w:r>
              <w:rPr>
                <w:rFonts w:hint="eastAsia" w:ascii="黑体" w:hAnsi="黑体" w:eastAsia="黑体" w:cs="黑体"/>
                <w:b/>
                <w:bCs w:val="0"/>
                <w:i w:val="0"/>
                <w:color w:val="000000"/>
                <w:kern w:val="0"/>
                <w:sz w:val="21"/>
                <w:szCs w:val="21"/>
                <w:u w:val="none"/>
                <w:lang w:val="en-US" w:eastAsia="zh-CN"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1</w:t>
            </w:r>
          </w:p>
        </w:tc>
        <w:tc>
          <w:tcPr>
            <w:tcW w:w="770" w:type="dxa"/>
            <w:vMerge w:val="restart"/>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城市供水、城镇排水与污水处理</w:t>
            </w: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因工程建设需要拆除、改动、迁移供水、排水与污水处理设施审核</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1、已办理建设工程规划许可证及管线综合图的申请人（管线建设、道路改建及大型工程建设申请挖掘许可的）。</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4、由取得相应资质的单位进行设计和施工。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1、城市道路挖掘申请表</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2、建设工程规划许可证</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3、管线综合图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4、施工单位资质证明</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5、施工方案</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2、《吉林省市政公用设施管理条例》</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3、《白山市市政设施管理条例》</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《《城市道路管理条例》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2、《吉林省市政公用设施管理条例》</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3、《白山市市政设施管理条例》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2</w:t>
            </w:r>
          </w:p>
        </w:tc>
        <w:tc>
          <w:tcPr>
            <w:tcW w:w="770" w:type="dxa"/>
            <w:vMerge w:val="continue"/>
            <w:noWrap w:val="0"/>
            <w:vAlign w:val="center"/>
          </w:tcPr>
          <w:p>
            <w:pPr>
              <w:jc w:val="left"/>
              <w:rPr>
                <w:rFonts w:hint="eastAsia" w:ascii="黑体" w:hAnsi="黑体" w:eastAsia="黑体" w:cs="黑体"/>
                <w:color w:val="000000"/>
                <w:sz w:val="18"/>
                <w:szCs w:val="18"/>
              </w:rPr>
            </w:pP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因工程施工、设备维修等确需停止供水的审批</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法定依据</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《城市供水条例》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3</w:t>
            </w:r>
          </w:p>
        </w:tc>
        <w:tc>
          <w:tcPr>
            <w:tcW w:w="770" w:type="dxa"/>
            <w:vMerge w:val="continue"/>
            <w:noWrap w:val="0"/>
            <w:vAlign w:val="center"/>
          </w:tcPr>
          <w:p>
            <w:pPr>
              <w:jc w:val="left"/>
              <w:rPr>
                <w:rFonts w:hint="eastAsia" w:ascii="黑体" w:hAnsi="黑体" w:eastAsia="黑体" w:cs="黑体"/>
                <w:color w:val="000000"/>
                <w:sz w:val="18"/>
                <w:szCs w:val="18"/>
              </w:rPr>
            </w:pP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对从事工业、建筑、餐饮、医疗等活动的企业事业单位、个体工商户向城镇排水设施排放污水许可的审批</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1、已办理建设工程规划许可证及管线综合图。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2、已建设完成污水预处理设施并已验收合格。</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3、已安装主要污染物排放自动监测设备并已与环保部门联网。</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1、排污许可证；</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2、排水许可申请表；</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3、排水户内部排水管网、专用检测井、污水排放口位置和口径的图纸及说明等材料；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4、按规定建设污水预处理设施的有关材料；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5、排水隐蔽工程竣工报告（应包含闭水试验报告）；</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6、城镇污水排入排水管网许可承诺书；</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7、列入重点排污单位名录的排水户应当提供已安装的主要水污染物排放自动监测设备有关材料；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8、污水排放口设置符合城镇排水与污水处理规划的要求的有关材料；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9、拟排放污水的排水户提交水质、水量预测报告。</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10、法律、法规规定的其他材料。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1、《城镇排水与污水处理条例》</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2、《城镇污水排入排水管网许可管理办法》</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1、《城镇排水与污水处理条例》</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2、《城镇污水排入排水管网许可管理办法》</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信息形成（变更）20个工作日内</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46"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w:t>
            </w:r>
          </w:p>
        </w:tc>
        <w:tc>
          <w:tcPr>
            <w:tcW w:w="77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rPr>
            </w:pPr>
            <w:r>
              <w:rPr>
                <w:rFonts w:hint="eastAsia" w:ascii="黑体" w:hAnsi="黑体" w:eastAsia="黑体" w:cs="黑体"/>
                <w:i w:val="0"/>
                <w:color w:val="000000"/>
                <w:kern w:val="0"/>
                <w:sz w:val="18"/>
                <w:szCs w:val="18"/>
                <w:u w:val="none"/>
                <w:lang w:val="en-US" w:eastAsia="zh-CN" w:bidi="ar"/>
              </w:rPr>
              <w:t>城市园林绿化管理</w:t>
            </w: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城市园林绿化行政审批</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1、建设工程规划许可证及规划图纸；2、绿地恢复协议。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流程：申请、受理、审核、决定、发证</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"《城市绿化条例》第十九条 任何单位和个人都不得擅自占用城市绿化用地；占用的城市绿化用地，应当限期归还。</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因建设或者其他特殊需要临时占用城市绿化用地，须经城市人民政府城市绿化行政主管部门同意，并按照有关规定办理临时用地手续。</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《中华人民共和国政府信息公开条例》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《城市绿化条例》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《国务院对确需保留的行政审批项目设定行政许可的决定》</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信息形成（变更）20个工作日内</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color w:val="000000"/>
                <w:sz w:val="18"/>
                <w:szCs w:val="18"/>
                <w:lang w:eastAsia="zh-CN"/>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top"/>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top"/>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top"/>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546"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w:t>
            </w:r>
          </w:p>
        </w:tc>
        <w:tc>
          <w:tcPr>
            <w:tcW w:w="770" w:type="dxa"/>
            <w:noWrap w:val="0"/>
            <w:vAlign w:val="center"/>
          </w:tcPr>
          <w:p>
            <w:pPr>
              <w:jc w:val="left"/>
              <w:rPr>
                <w:rFonts w:hint="eastAsia" w:ascii="黑体" w:hAnsi="黑体" w:eastAsia="黑体" w:cs="黑体"/>
                <w:i w:val="0"/>
                <w:color w:val="000000"/>
                <w:kern w:val="0"/>
                <w:sz w:val="18"/>
                <w:szCs w:val="18"/>
                <w:u w:val="none"/>
                <w:lang w:val="en-US" w:eastAsia="zh-CN" w:bidi="ar"/>
              </w:rPr>
            </w:pPr>
          </w:p>
        </w:tc>
        <w:tc>
          <w:tcPr>
            <w:tcW w:w="1077"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城市园林绿化行政处罚</w:t>
            </w:r>
          </w:p>
        </w:tc>
        <w:tc>
          <w:tcPr>
            <w:tcW w:w="3361"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515"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《政府信息公开条例》、《城市绿化条例》</w:t>
            </w:r>
          </w:p>
        </w:tc>
        <w:tc>
          <w:tcPr>
            <w:tcW w:w="1050"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信息形成（变更）20个工作日内</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政府网站、公开查阅点</w:t>
            </w:r>
          </w:p>
        </w:tc>
        <w:tc>
          <w:tcPr>
            <w:tcW w:w="735"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w:t>
            </w:r>
          </w:p>
        </w:tc>
        <w:tc>
          <w:tcPr>
            <w:tcW w:w="600" w:type="dxa"/>
            <w:noWrap w:val="0"/>
            <w:vAlign w:val="top"/>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b/>
                <w:bCs/>
                <w:color w:val="000000"/>
                <w:sz w:val="18"/>
                <w:szCs w:val="18"/>
              </w:rPr>
              <w:t>　</w:t>
            </w:r>
          </w:p>
        </w:tc>
        <w:tc>
          <w:tcPr>
            <w:tcW w:w="555"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w:t>
            </w:r>
          </w:p>
        </w:tc>
        <w:tc>
          <w:tcPr>
            <w:tcW w:w="555" w:type="dxa"/>
            <w:noWrap w:val="0"/>
            <w:vAlign w:val="top"/>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b/>
                <w:bCs/>
                <w:color w:val="000000"/>
                <w:sz w:val="18"/>
                <w:szCs w:val="18"/>
              </w:rPr>
              <w:t>　</w:t>
            </w:r>
          </w:p>
        </w:tc>
        <w:tc>
          <w:tcPr>
            <w:tcW w:w="577"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w:t>
            </w:r>
          </w:p>
        </w:tc>
        <w:tc>
          <w:tcPr>
            <w:tcW w:w="642"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w:t>
            </w:r>
          </w:p>
        </w:tc>
        <w:tc>
          <w:tcPr>
            <w:tcW w:w="77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城镇燃气管理</w:t>
            </w: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燃气经营许可证核发</w:t>
            </w:r>
          </w:p>
        </w:tc>
        <w:tc>
          <w:tcPr>
            <w:tcW w:w="3361" w:type="dxa"/>
            <w:noWrap w:val="0"/>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申请条件、1、符合燃气发展规划要求；2、有符合国家标准的燃气气源和燃气设施；3、有固定的经营场所、完善的安全管理制度和健全的经营方案； 4、企业的主要负责人、安全生产管理人员以及运行、维护和抢修人员经专业培训并考核合格； 5、 法律、法规规定的其他条件。申请材料、1、燃气经营许可申请书；2、企业章程和企业资本结构说明；3、企业的主要负责人、安全生产管理人员以及运行、维护和抢修等人员的身份证明、所取得的有效期内的燃气从业人员专业培训考核合格证书；4、固定的经营场所（包括办公场所、经营和服务站点等）的产权证明或租赁协议；5、燃气设施建设工程竣工验收报告及备申请的燃气经营类别和经营区域，企业实施燃气发展规划的具体方案案文件；6、气源证明。燃气气质检测报告；7、与气源供应企业签订的供用气合同书或供用气意向书；8、完善的安全管理制度和健全的经营方案材料；9、管道燃气经营企业需提供与所在地人民政府签订的管道燃气特许经营协议；压缩天然气母站、液化天然气生产项目提供发展改革委核准、备案材料。高速公路建设汽车加气站项目须持吉林省高速公路管理部门的批准文件。</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《城镇燃气管理条例》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20个工作日</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w:t>
            </w:r>
          </w:p>
        </w:tc>
        <w:tc>
          <w:tcPr>
            <w:tcW w:w="770" w:type="dxa"/>
            <w:noWrap w:val="0"/>
            <w:vAlign w:val="center"/>
          </w:tcPr>
          <w:p>
            <w:pPr>
              <w:jc w:val="left"/>
              <w:rPr>
                <w:rFonts w:hint="eastAsia" w:ascii="黑体" w:hAnsi="黑体" w:eastAsia="黑体" w:cs="黑体"/>
                <w:i w:val="0"/>
                <w:color w:val="000000"/>
                <w:kern w:val="0"/>
                <w:sz w:val="18"/>
                <w:szCs w:val="18"/>
                <w:u w:val="none"/>
                <w:lang w:val="en-US" w:eastAsia="zh-CN" w:bidi="ar"/>
              </w:rPr>
            </w:pP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燃气经营者改动市政燃气设施审批</w:t>
            </w:r>
          </w:p>
        </w:tc>
        <w:tc>
          <w:tcPr>
            <w:tcW w:w="3361" w:type="dxa"/>
            <w:noWrap w:val="0"/>
            <w:vAlign w:val="top"/>
          </w:tcPr>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申请条件、1、市政燃气设施改动申请表； 2. 市政燃气设施改动方案，改动方案包括符合燃气发展规划，明确安全施工要求，有安全防护和保障正常用气的措施。申请材料、1市政燃气设施改动方案，改动方案包括符合燃气发展规划，明确安全施工要求，有安全防护和保障正常用气的措施。</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2市政燃气设施改动申请表；</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申请流程、申请-受理-审查-审定-办结</w:t>
            </w:r>
          </w:p>
          <w:p>
            <w:pPr>
              <w:keepNext w:val="0"/>
              <w:keepLines w:val="0"/>
              <w:widowControl/>
              <w:suppressLineNumbers w:val="0"/>
              <w:jc w:val="left"/>
              <w:textAlignment w:val="top"/>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   《城镇燃气管理条例》（2010年11月19日国务院令第583号）第三十八条</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《城镇燃气管理条例》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20个工作日</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8</w:t>
            </w:r>
          </w:p>
        </w:tc>
        <w:tc>
          <w:tcPr>
            <w:tcW w:w="77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市政设施建设类审批</w:t>
            </w: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占用、挖掘城市道路审批</w:t>
            </w:r>
          </w:p>
        </w:tc>
        <w:tc>
          <w:tcPr>
            <w:tcW w:w="3361" w:type="dxa"/>
            <w:noWrap w:val="0"/>
            <w:vAlign w:val="center"/>
          </w:tcPr>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1、已办理建设工程规划许可证及管线综合图的申请人（管线建设、道路改建及大型工程建设申请挖掘许可的）。</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2、由取得相应资质的单位进行设计和施工。</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1、城市道路挖掘申请表</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2、建设工程规划许可证</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3、管线综合图</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4、施工单位资质证明</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5、施工方案</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1、《城市道路管理条例》</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2、《吉林省市政公用设施管理条例》</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3、《白山市市政设施管理条例》申请条件</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1、临时占用符合市容市貌相关规定。</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2、无不良记录</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1、临时占用城市道路申请表</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2、统一社会信用代码证书</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3、现场安全方案（应包括现场搭建物安全情况、现场安全维护方案、紧急情况应急方案等）。注1</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4、政府部门批准文件。注2</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1、《城市道路管理条例》</w:t>
            </w:r>
          </w:p>
          <w:p>
            <w:pPr>
              <w:keepNext w:val="0"/>
              <w:keepLines w:val="0"/>
              <w:widowControl/>
              <w:suppressLineNumbers w:val="0"/>
              <w:spacing w:after="200" w:afterAutospacing="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2、《吉林省市政公用设施管理条例》</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《城市道路管理条例》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20个工作日</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9</w:t>
            </w:r>
          </w:p>
        </w:tc>
        <w:tc>
          <w:tcPr>
            <w:tcW w:w="770" w:type="dxa"/>
            <w:noWrap w:val="0"/>
            <w:vAlign w:val="center"/>
          </w:tcPr>
          <w:p>
            <w:pPr>
              <w:jc w:val="left"/>
              <w:rPr>
                <w:rFonts w:hint="eastAsia" w:ascii="黑体" w:hAnsi="黑体" w:eastAsia="黑体" w:cs="黑体"/>
                <w:i w:val="0"/>
                <w:color w:val="000000"/>
                <w:kern w:val="0"/>
                <w:sz w:val="18"/>
                <w:szCs w:val="18"/>
                <w:u w:val="none"/>
                <w:lang w:val="en-US" w:eastAsia="zh-CN" w:bidi="ar"/>
              </w:rPr>
            </w:pP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依附城市道路建设各种管线及城市桥梁上架设各类市政管线审批</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1、已办理建设工程规划许可证及管线综合图的申请人（管线建设、道路改建及大型工程建设申请挖掘许可的）。</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3、由取得相应资质的单位进行设计和施工。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1、城市道路挖掘申请表</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2、建设工程规划许可证</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3、管线综合图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4、施工单位资质证明</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5、施工方案</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1、《城市道路管理条例》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2、《吉林省市政公用设施管理条例》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3、《白山市市政设施管理条例》</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《城市道路管理条例》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20个工作日</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center"/>
          </w:tcPr>
          <w:p>
            <w:pPr>
              <w:jc w:val="left"/>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10</w:t>
            </w:r>
          </w:p>
        </w:tc>
        <w:tc>
          <w:tcPr>
            <w:tcW w:w="770" w:type="dxa"/>
            <w:noWrap w:val="0"/>
            <w:vAlign w:val="center"/>
          </w:tcPr>
          <w:p>
            <w:pPr>
              <w:jc w:val="left"/>
              <w:rPr>
                <w:rFonts w:hint="eastAsia" w:ascii="黑体" w:hAnsi="黑体" w:eastAsia="黑体" w:cs="黑体"/>
                <w:i w:val="0"/>
                <w:color w:val="000000"/>
                <w:kern w:val="0"/>
                <w:sz w:val="18"/>
                <w:szCs w:val="18"/>
                <w:u w:val="none"/>
                <w:lang w:val="en-US" w:eastAsia="zh-CN" w:bidi="ar"/>
              </w:rPr>
            </w:pPr>
          </w:p>
        </w:tc>
        <w:tc>
          <w:tcPr>
            <w:tcW w:w="10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特殊车辆在城市道路上行驶</w:t>
            </w:r>
          </w:p>
        </w:tc>
        <w:tc>
          <w:tcPr>
            <w:tcW w:w="3361"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申请条件</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1、特殊车辆需经过市政设施，已获得政府会议纪要或公安交通管理部门出具的许可手续。</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2、由具备检测资质单位出具的经过桥梁可安全乘承超重车辆安全通过的检测报告</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申请材料</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1、特殊车辆在城市道路上行驶(包括经过城市桥梁）审批表</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2、桥梁检测报告</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3、检测机构资质证书</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申请流程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受理--审查--批准--送达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法定依据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《吉林省市政公用设施管理条例》</w:t>
            </w:r>
          </w:p>
        </w:tc>
        <w:tc>
          <w:tcPr>
            <w:tcW w:w="151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《城市道路管理条例》</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20个工作日</w:t>
            </w:r>
          </w:p>
        </w:tc>
        <w:tc>
          <w:tcPr>
            <w:tcW w:w="1050"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color w:val="000000"/>
                <w:sz w:val="18"/>
                <w:szCs w:val="18"/>
                <w:lang w:eastAsia="zh-CN"/>
              </w:rPr>
              <w:t>住建局</w:t>
            </w:r>
          </w:p>
        </w:tc>
        <w:tc>
          <w:tcPr>
            <w:tcW w:w="262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□两微一端      □发布会/听证会                 </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□精准推送      □其他_</w:t>
            </w:r>
          </w:p>
        </w:tc>
        <w:tc>
          <w:tcPr>
            <w:tcW w:w="73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00" w:type="dxa"/>
            <w:noWrap w:val="0"/>
            <w:vAlign w:val="center"/>
          </w:tcPr>
          <w:p>
            <w:pPr>
              <w:jc w:val="left"/>
              <w:rPr>
                <w:rFonts w:hint="eastAsia" w:ascii="黑体" w:hAnsi="黑体" w:eastAsia="黑体" w:cs="黑体"/>
                <w:color w:val="000000"/>
                <w:sz w:val="18"/>
                <w:szCs w:val="18"/>
              </w:rPr>
            </w:pPr>
          </w:p>
        </w:tc>
        <w:tc>
          <w:tcPr>
            <w:tcW w:w="555"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555" w:type="dxa"/>
            <w:noWrap w:val="0"/>
            <w:vAlign w:val="center"/>
          </w:tcPr>
          <w:p>
            <w:pPr>
              <w:jc w:val="left"/>
              <w:rPr>
                <w:rFonts w:hint="eastAsia" w:ascii="黑体" w:hAnsi="黑体" w:eastAsia="黑体" w:cs="黑体"/>
                <w:color w:val="000000"/>
                <w:sz w:val="18"/>
                <w:szCs w:val="18"/>
              </w:rPr>
            </w:pPr>
          </w:p>
        </w:tc>
        <w:tc>
          <w:tcPr>
            <w:tcW w:w="577" w:type="dxa"/>
            <w:noWrap w:val="0"/>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w:t>
            </w:r>
          </w:p>
        </w:tc>
        <w:tc>
          <w:tcPr>
            <w:tcW w:w="642" w:type="dxa"/>
            <w:noWrap w:val="0"/>
            <w:vAlign w:val="center"/>
          </w:tcPr>
          <w:p>
            <w:pPr>
              <w:jc w:val="left"/>
              <w:rPr>
                <w:rFonts w:hint="eastAsia" w:ascii="黑体" w:hAnsi="黑体" w:eastAsia="黑体" w:cs="黑体"/>
                <w:color w:val="00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71C965BF"/>
    <w:rsid w:val="71C9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3646</Words>
  <Characters>3684</Characters>
  <Lines>0</Lines>
  <Paragraphs>0</Paragraphs>
  <TotalTime>0</TotalTime>
  <ScaleCrop>false</ScaleCrop>
  <LinksUpToDate>false</LinksUpToDate>
  <CharactersWithSpaces>4162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2022-11-16T02:35:00Z</dcterms:created>
  <dc:creator>Administrator</dc:creator>
  <cp:lastModifiedBy>Administrator</cp:lastModifiedBy>
  <dcterms:modified xsi:type="dcterms:W3CDTF">2022-11-16T02:40:18Z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D0B9EADEF6434C039E207CEF769B4B3E</vt:lpwstr>
  </property>
</Properties>
</file>