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32"/>
          <w:szCs w:val="32"/>
        </w:rPr>
      </w:pPr>
      <w:bookmarkStart w:id="1" w:name="_GoBack"/>
      <w:bookmarkStart w:id="0" w:name="_Toc24724723"/>
      <w:r>
        <w:rPr>
          <w:rFonts w:hint="eastAsia" w:ascii="宋体" w:hAnsi="宋体" w:eastAsia="宋体" w:cs="宋体"/>
          <w:b/>
          <w:bCs/>
          <w:sz w:val="32"/>
          <w:szCs w:val="32"/>
        </w:rPr>
        <w:t>（二十）公共文化服务领域基层政务公开标准目录</w:t>
      </w:r>
      <w:bookmarkEnd w:id="0"/>
    </w:p>
    <w:bookmarkEnd w:id="1"/>
    <w:p/>
    <w:tbl>
      <w:tblPr>
        <w:tblStyle w:val="3"/>
        <w:tblW w:w="15658"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42"/>
        <w:gridCol w:w="1639"/>
        <w:gridCol w:w="2122"/>
        <w:gridCol w:w="2130"/>
        <w:gridCol w:w="1665"/>
        <w:gridCol w:w="1170"/>
        <w:gridCol w:w="1457"/>
        <w:gridCol w:w="728"/>
        <w:gridCol w:w="717"/>
        <w:gridCol w:w="557"/>
        <w:gridCol w:w="728"/>
        <w:gridCol w:w="728"/>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序号</w:t>
            </w:r>
          </w:p>
        </w:tc>
        <w:tc>
          <w:tcPr>
            <w:tcW w:w="2381"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公开事项</w:t>
            </w:r>
          </w:p>
        </w:tc>
        <w:tc>
          <w:tcPr>
            <w:tcW w:w="2122"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公开内容（要素）</w:t>
            </w:r>
          </w:p>
        </w:tc>
        <w:tc>
          <w:tcPr>
            <w:tcW w:w="2130"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公开依据</w:t>
            </w:r>
          </w:p>
        </w:tc>
        <w:tc>
          <w:tcPr>
            <w:tcW w:w="1665"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公开时限</w:t>
            </w:r>
          </w:p>
        </w:tc>
        <w:tc>
          <w:tcPr>
            <w:tcW w:w="1170" w:type="dxa"/>
            <w:vMerge w:val="restart"/>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公开主体</w:t>
            </w:r>
          </w:p>
        </w:tc>
        <w:tc>
          <w:tcPr>
            <w:tcW w:w="1457" w:type="dxa"/>
            <w:vMerge w:val="restart"/>
            <w:noWrap w:val="0"/>
            <w:vAlign w:val="center"/>
          </w:tcPr>
          <w:p>
            <w:pPr>
              <w:widowControl/>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公开渠道和载体</w:t>
            </w:r>
          </w:p>
        </w:tc>
        <w:tc>
          <w:tcPr>
            <w:tcW w:w="1445"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公开对象</w:t>
            </w:r>
          </w:p>
        </w:tc>
        <w:tc>
          <w:tcPr>
            <w:tcW w:w="1285"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公开方式</w:t>
            </w:r>
          </w:p>
        </w:tc>
        <w:tc>
          <w:tcPr>
            <w:tcW w:w="1457" w:type="dxa"/>
            <w:gridSpan w:val="2"/>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742"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一级事项</w:t>
            </w:r>
          </w:p>
        </w:tc>
        <w:tc>
          <w:tcPr>
            <w:tcW w:w="1639"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二级事项</w:t>
            </w:r>
          </w:p>
        </w:tc>
        <w:tc>
          <w:tcPr>
            <w:tcW w:w="2122"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2130"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665"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170" w:type="dxa"/>
            <w:vMerge w:val="continue"/>
            <w:noWrap w:val="0"/>
            <w:vAlign w:val="center"/>
          </w:tcPr>
          <w:p>
            <w:pPr>
              <w:widowControl/>
              <w:jc w:val="left"/>
              <w:rPr>
                <w:rFonts w:hint="eastAsia" w:ascii="黑体" w:hAnsi="黑体" w:eastAsia="黑体" w:cs="黑体"/>
                <w:b/>
                <w:bCs/>
                <w:color w:val="000000"/>
                <w:kern w:val="0"/>
                <w:sz w:val="21"/>
                <w:szCs w:val="21"/>
              </w:rPr>
            </w:pPr>
          </w:p>
        </w:tc>
        <w:tc>
          <w:tcPr>
            <w:tcW w:w="1457" w:type="dxa"/>
            <w:vMerge w:val="continue"/>
            <w:noWrap w:val="0"/>
            <w:vAlign w:val="center"/>
          </w:tcPr>
          <w:p>
            <w:pPr>
              <w:widowControl/>
              <w:jc w:val="left"/>
              <w:rPr>
                <w:rFonts w:hint="eastAsia" w:ascii="黑体" w:hAnsi="黑体" w:eastAsia="黑体" w:cs="黑体"/>
                <w:b/>
                <w:bCs/>
                <w:kern w:val="0"/>
                <w:sz w:val="21"/>
                <w:szCs w:val="21"/>
              </w:rPr>
            </w:pPr>
          </w:p>
        </w:tc>
        <w:tc>
          <w:tcPr>
            <w:tcW w:w="728"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全社会</w:t>
            </w:r>
          </w:p>
        </w:tc>
        <w:tc>
          <w:tcPr>
            <w:tcW w:w="717"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特定群众</w:t>
            </w:r>
          </w:p>
        </w:tc>
        <w:tc>
          <w:tcPr>
            <w:tcW w:w="557"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主动</w:t>
            </w:r>
          </w:p>
        </w:tc>
        <w:tc>
          <w:tcPr>
            <w:tcW w:w="728"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依申请公开</w:t>
            </w:r>
          </w:p>
        </w:tc>
        <w:tc>
          <w:tcPr>
            <w:tcW w:w="728"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县级</w:t>
            </w:r>
          </w:p>
        </w:tc>
        <w:tc>
          <w:tcPr>
            <w:tcW w:w="729" w:type="dxa"/>
            <w:noWrap w:val="0"/>
            <w:vAlign w:val="center"/>
          </w:tcPr>
          <w:p>
            <w:pPr>
              <w:widowControl/>
              <w:jc w:val="center"/>
              <w:rPr>
                <w:rFonts w:hint="eastAsia" w:ascii="黑体" w:hAnsi="黑体" w:eastAsia="黑体" w:cs="黑体"/>
                <w:b/>
                <w:bCs/>
                <w:color w:val="000000"/>
                <w:kern w:val="0"/>
                <w:sz w:val="21"/>
                <w:szCs w:val="21"/>
              </w:rPr>
            </w:pPr>
            <w:r>
              <w:rPr>
                <w:rFonts w:hint="eastAsia" w:ascii="黑体" w:hAnsi="黑体" w:eastAsia="黑体" w:cs="黑体"/>
                <w:b/>
                <w:bCs/>
                <w:color w:val="000000"/>
                <w:kern w:val="0"/>
                <w:sz w:val="21"/>
                <w:szCs w:val="21"/>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w:t>
            </w:r>
          </w:p>
        </w:tc>
        <w:tc>
          <w:tcPr>
            <w:tcW w:w="742" w:type="dxa"/>
            <w:vMerge w:val="restart"/>
            <w:noWrap w:val="0"/>
            <w:vAlign w:val="center"/>
          </w:tcPr>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行</w:t>
            </w:r>
          </w:p>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政</w:t>
            </w:r>
          </w:p>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许</w:t>
            </w:r>
          </w:p>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lang w:val="en-US" w:eastAsia="zh-CN"/>
              </w:rPr>
              <w:t>可</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互联网上网服务营业场所经营许可</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1.办事指南：主要包括事项名称、设定依据、申请条件、办理材料、办理地点、办理时间、联系电话、办理流程、办理期限、申请行政许可需要提交的全部材料目录及办理情况;</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《行政许可法》、《政府信息公开条例》、《互联网上网服务营业场所管理条例》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2</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文艺表演团体设立审批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《行政许可法》、《政府信息公开条例》、《营业性演出管理条例》、《文化部关于落实“先照后证”改进文化市场行政审批工作的通知》 </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3</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营业性演出审批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同上</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4</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娱乐场所经营许可</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5</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县级文物保护单位保护范围内其他建设工程或者爆破、钻探、挖掘等作业审批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6</w:t>
            </w:r>
          </w:p>
        </w:tc>
        <w:tc>
          <w:tcPr>
            <w:tcW w:w="742" w:type="dxa"/>
            <w:vMerge w:val="restart"/>
            <w:noWrap w:val="0"/>
            <w:vAlign w:val="center"/>
          </w:tcPr>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行</w:t>
            </w:r>
          </w:p>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政</w:t>
            </w:r>
          </w:p>
          <w:p>
            <w:pPr>
              <w:spacing w:line="240" w:lineRule="exact"/>
              <w:jc w:val="left"/>
              <w:rPr>
                <w:rFonts w:hint="eastAsia" w:ascii="黑体" w:hAnsi="黑体" w:eastAsia="黑体" w:cs="黑体"/>
                <w:color w:val="000000"/>
                <w:sz w:val="18"/>
                <w:szCs w:val="18"/>
                <w:shd w:val="solid" w:color="FFFFFF" w:fill="FFFFFF"/>
                <w:lang w:val="en-US" w:eastAsia="zh-CN"/>
              </w:rPr>
            </w:pPr>
            <w:r>
              <w:rPr>
                <w:rFonts w:hint="eastAsia" w:ascii="黑体" w:hAnsi="黑体" w:eastAsia="黑体" w:cs="黑体"/>
                <w:color w:val="000000"/>
                <w:sz w:val="18"/>
                <w:szCs w:val="18"/>
                <w:shd w:val="solid" w:color="FFFFFF" w:fill="FFFFFF"/>
                <w:lang w:val="en-US" w:eastAsia="zh-CN"/>
              </w:rPr>
              <w:t>许</w:t>
            </w:r>
          </w:p>
          <w:p>
            <w:pPr>
              <w:widowControl/>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lang w:val="en-US" w:eastAsia="zh-CN"/>
              </w:rPr>
              <w:t>可</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县级文物保护单位建设控制地带内建设工程设计方案审批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7</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县级文物保护单位实施原址保护措施审批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8</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县级文物保护单位和未核定为文物保护单位的不可移动文物修缮审批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9</w:t>
            </w:r>
          </w:p>
        </w:tc>
        <w:tc>
          <w:tcPr>
            <w:tcW w:w="742" w:type="dxa"/>
            <w:vMerge w:val="continue"/>
            <w:noWrap w:val="0"/>
            <w:vAlign w:val="center"/>
          </w:tcPr>
          <w:p>
            <w:pPr>
              <w:widowControl/>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非国有文物收藏单位和其他单位举办展览需借用国有馆藏二级以下文物审批</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1.办事指南：内容同上;</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2.行政许可决定。</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《行政许可法》、《政府信息公开条例》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10</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对互联网上网服务营业场所违法行为的行政处罚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11</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对娱乐场所违法行为的行政处罚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12</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对营业性演出违法行为的行政处罚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13</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对艺术品经营违法行为的行政处罚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14</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对社会艺术水平考级活动违法行为的行政处罚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15</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对互联网文化单位违法行为的行政处罚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rPr>
              <w:t>16</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对擅自在文物保护单位的保护范围内进行建设工程或者爆破、钻探、挖掘等作业的行为进行处罚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17</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18</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对擅自迁移、拆除不可移动文物的行为进行处罚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val="en-US" w:eastAsia="zh-CN"/>
              </w:rPr>
              <w:t>19</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对擅自修缮不可移动文物，明显改变文物原状的行为进行处罚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20</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对擅自在原址重建已全部毁坏的不可移动文物，造成文物破坏的行为进行处罚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21</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对施工单位未取得文物保护工程资质证书，擅自从事文物修缮、迁移、重建的行为进行处罚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22</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对转让或者抵押国有不可移动文物的行为进行处罚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23</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对将国有不可移动文物作为企业资产经营的行为进行处罚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24</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对将非国有不可移动文物转让或者抵押给外国人的行为进行处罚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25</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对擅自改变国有文物保护单位用途的行为进行处罚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26</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对文物收藏单位未按照国家有关规定配备防火、防盗、防自然损坏的设施的行为进行处罚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27</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对国有文物收藏单位法定代表人离任时未按照馆藏文物档案移交馆藏文物，或者所移交的馆藏文物与馆藏文物档案不符的行为进行处罚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28</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对将国有馆藏文物赠与、出租或者出售给其他单位、个人的行为进行处罚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29</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对违法借用、交换、处置国有馆藏文物的行为进行处罚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30</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对违法挪用或者侵占依法调拨、交换、出借文物所得补偿费用的行为进行处罚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31</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对发现文物隐匿不报，或者拒不上交的行为进行处罚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32</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对未按照规定移交拣选文物的行为进行处罚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33</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对未取得相应等级的文物保护工程资质证书，擅自承担文物保护单位的修缮、迁移、重建工程逾期不改正，或者造成严重后果的行为进行处罚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34</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处</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罚</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对未取得资质证书，擅自从事馆藏文物的修复、复制、拓印活动的行为进行处罚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35</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对擅自修复、复制、拓印馆藏珍贵文物的行为进行处罚</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3.处罚依据；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4.处罚结果。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《政府信息公开条例》、《国务院办公厅关于全面推行行政执法公示制度执法全过程记录制度重大执法决定法制审核制度的指导意见》</w:t>
            </w:r>
          </w:p>
        </w:tc>
        <w:tc>
          <w:tcPr>
            <w:tcW w:w="1665" w:type="dxa"/>
            <w:noWrap w:val="0"/>
            <w:vAlign w:val="top"/>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执法决定信息在决定作出之日起7个工作日内公开，其他相关信息形成或变更之日起20个工作日内公开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36</w:t>
            </w:r>
          </w:p>
        </w:tc>
        <w:tc>
          <w:tcPr>
            <w:tcW w:w="742"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行</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政</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强</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制</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对擅自从事互联网上网服务经营活动场所的查封，专用工具、设备的扣押</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1.主体信息；</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2.案由；</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3.处理依据；</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4.处理结果。</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■政府网站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37</w:t>
            </w:r>
          </w:p>
        </w:tc>
        <w:tc>
          <w:tcPr>
            <w:tcW w:w="742"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共</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服</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务</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公共文化机构免费开放信息</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1.机构名称；</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2.开放时间；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3.机构地址；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5.临时停止开放信息。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38</w:t>
            </w:r>
          </w:p>
        </w:tc>
        <w:tc>
          <w:tcPr>
            <w:tcW w:w="742" w:type="dxa"/>
            <w:vMerge w:val="restart"/>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公</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共</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服</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务</w:t>
            </w: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特殊群体公共文化服务信息</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1.机构名称；</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2.开放时间；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3.机构地址；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5.临时停止开放信息。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《残疾人保障法》、《政府信息公开条例》、《中共中央办公厅 国务院办公厅印发关于加快构建现代公共文化服务体系的意见》</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39</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组织开展群众文化活动</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1.机构名称；</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2.开放时间；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3.机构地址；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5.临时停止活动信息。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《政府信息公开条例》、《文化馆服务标准》</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40</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下基层辅导、演出、展览和指导基层群众文化活动</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1.活动时间；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2.活动单位；</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3.活动地址；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5.临时停止活动信息。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《政府信息公开条例》、《文化馆服务标准》</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41</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举办各类展览、讲座信息</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1.活动时间；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2.活动单位；</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3.活动地址；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5.临时停止活动信息。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《政府信息公开条例》、《乡镇综合文化站管理办法》</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42</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辅导和培训基层文化骨干</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1.培训时间；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2.培训单位；</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3.培训地址；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5.临时停止活动信息。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《政府信息公开条例》、《乡镇综合文化站管理办法》</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lang w:val="en-US" w:eastAsia="zh-CN"/>
              </w:rPr>
              <w:t>43</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非物质文化遗产展示传播活动</w:t>
            </w:r>
          </w:p>
        </w:tc>
        <w:tc>
          <w:tcPr>
            <w:tcW w:w="2122" w:type="dxa"/>
            <w:noWrap w:val="0"/>
            <w:vAlign w:val="center"/>
          </w:tcPr>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1.活动时间；</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2.组织单位；</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3.活动地址；</w:t>
            </w:r>
          </w:p>
          <w:p>
            <w:pPr>
              <w:spacing w:line="240" w:lineRule="exact"/>
              <w:jc w:val="left"/>
              <w:rPr>
                <w:rFonts w:hint="eastAsia" w:ascii="黑体" w:hAnsi="黑体" w:eastAsia="黑体" w:cs="黑体"/>
                <w:sz w:val="18"/>
                <w:szCs w:val="18"/>
                <w:lang w:eastAsia="zh-CN"/>
              </w:rPr>
            </w:pPr>
            <w:r>
              <w:rPr>
                <w:rFonts w:hint="eastAsia" w:ascii="黑体" w:hAnsi="黑体" w:eastAsia="黑体" w:cs="黑体"/>
                <w:sz w:val="18"/>
                <w:szCs w:val="18"/>
              </w:rPr>
              <w:t>4.联系电话；</w:t>
            </w:r>
          </w:p>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5.临时停止活动信息。</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xml:space="preserve">《非物质文化遗产法》、《政府信息公开条例》  </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6"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color w:val="000000"/>
                <w:sz w:val="18"/>
                <w:szCs w:val="18"/>
                <w:shd w:val="solid" w:color="FFFFFF" w:fill="FFFFFF"/>
                <w:lang w:val="en-US" w:eastAsia="zh-CN"/>
              </w:rPr>
              <w:t>44</w:t>
            </w:r>
          </w:p>
        </w:tc>
        <w:tc>
          <w:tcPr>
            <w:tcW w:w="742" w:type="dxa"/>
            <w:vMerge w:val="continue"/>
            <w:noWrap w:val="0"/>
            <w:vAlign w:val="center"/>
          </w:tcPr>
          <w:p>
            <w:pPr>
              <w:spacing w:line="240" w:lineRule="exact"/>
              <w:jc w:val="left"/>
              <w:rPr>
                <w:rFonts w:hint="eastAsia" w:ascii="黑体" w:hAnsi="黑体" w:eastAsia="黑体" w:cs="黑体"/>
                <w:sz w:val="18"/>
                <w:szCs w:val="18"/>
              </w:rPr>
            </w:pPr>
          </w:p>
        </w:tc>
        <w:tc>
          <w:tcPr>
            <w:tcW w:w="163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文博单位名录</w:t>
            </w:r>
          </w:p>
        </w:tc>
        <w:tc>
          <w:tcPr>
            <w:tcW w:w="2122"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文物保护管理机构和博物馆名录</w:t>
            </w:r>
          </w:p>
        </w:tc>
        <w:tc>
          <w:tcPr>
            <w:tcW w:w="213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《政府信息公开条例》</w:t>
            </w:r>
          </w:p>
        </w:tc>
        <w:tc>
          <w:tcPr>
            <w:tcW w:w="1665"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信息形成或变更之日起20个工作日内公开</w:t>
            </w:r>
          </w:p>
        </w:tc>
        <w:tc>
          <w:tcPr>
            <w:tcW w:w="1170"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lang w:eastAsia="zh-CN"/>
              </w:rPr>
              <w:t>文旅局</w:t>
            </w:r>
          </w:p>
        </w:tc>
        <w:tc>
          <w:tcPr>
            <w:tcW w:w="14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■政府网站</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1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557"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　</w:t>
            </w:r>
          </w:p>
        </w:tc>
        <w:tc>
          <w:tcPr>
            <w:tcW w:w="728"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c>
          <w:tcPr>
            <w:tcW w:w="729" w:type="dxa"/>
            <w:noWrap w:val="0"/>
            <w:vAlign w:val="center"/>
          </w:tcPr>
          <w:p>
            <w:pPr>
              <w:spacing w:line="240" w:lineRule="exact"/>
              <w:jc w:val="left"/>
              <w:rPr>
                <w:rFonts w:hint="eastAsia" w:ascii="黑体" w:hAnsi="黑体" w:eastAsia="黑体" w:cs="黑体"/>
                <w:sz w:val="18"/>
                <w:szCs w:val="18"/>
              </w:rPr>
            </w:pPr>
            <w:r>
              <w:rPr>
                <w:rFonts w:hint="eastAsia" w:ascii="黑体" w:hAnsi="黑体" w:eastAsia="黑体" w:cs="黑体"/>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748F7E2A"/>
    <w:rsid w:val="748F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2022-11-16T02:47:00Z</dcterms:created>
  <dc:creator>Administrator</dc:creator>
  <cp:lastModifiedBy>Administrator</cp:lastModifiedBy>
  <dcterms:modified xsi:type="dcterms:W3CDTF">2022-11-16T02:48:18Z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724319D2098B4E4A8552BF6905A751F9</vt:lpwstr>
  </property>
</Properties>
</file>