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3534" w:firstLineChars="1100"/>
        <w:jc w:val="both"/>
        <w:rPr>
          <w:rFonts w:hint="eastAsia" w:ascii="宋体" w:hAnsi="宋体" w:eastAsia="宋体" w:cs="宋体"/>
          <w:sz w:val="32"/>
          <w:szCs w:val="32"/>
        </w:rPr>
      </w:pPr>
      <w:bookmarkStart w:id="1" w:name="_GoBack"/>
      <w:bookmarkStart w:id="0" w:name="_Toc24724725"/>
      <w:r>
        <w:rPr>
          <w:rFonts w:hint="eastAsia" w:ascii="宋体" w:hAnsi="宋体" w:eastAsia="宋体" w:cs="宋体"/>
          <w:sz w:val="32"/>
          <w:szCs w:val="32"/>
        </w:rPr>
        <w:t>（二十二）安全生产领域基层政务公开标准目录</w:t>
      </w:r>
      <w:bookmarkEnd w:id="0"/>
    </w:p>
    <w:bookmarkEnd w:id="1"/>
    <w:tbl>
      <w:tblPr>
        <w:tblStyle w:val="5"/>
        <w:tblW w:w="1566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337"/>
        <w:gridCol w:w="1860"/>
        <w:gridCol w:w="1023"/>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b/>
                <w:bCs/>
                <w:color w:val="000000"/>
                <w:kern w:val="0"/>
                <w:sz w:val="21"/>
                <w:szCs w:val="21"/>
              </w:rPr>
            </w:pPr>
            <w:r>
              <w:rPr>
                <w:rFonts w:hint="eastAsia" w:ascii="黑体" w:hAnsi="宋体" w:eastAsia="黑体" w:cs="宋体"/>
                <w:b/>
                <w:bCs/>
                <w:color w:val="000000"/>
                <w:kern w:val="0"/>
                <w:sz w:val="21"/>
                <w:szCs w:val="21"/>
              </w:rPr>
              <w:t>序号</w:t>
            </w:r>
          </w:p>
        </w:tc>
        <w:tc>
          <w:tcPr>
            <w:tcW w:w="1980" w:type="dxa"/>
            <w:gridSpan w:val="2"/>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公开事项</w:t>
            </w:r>
          </w:p>
        </w:tc>
        <w:tc>
          <w:tcPr>
            <w:tcW w:w="2520" w:type="dxa"/>
            <w:vMerge w:val="restart"/>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公开内容（要素）</w:t>
            </w:r>
          </w:p>
        </w:tc>
        <w:tc>
          <w:tcPr>
            <w:tcW w:w="2337" w:type="dxa"/>
            <w:vMerge w:val="restart"/>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公开依据</w:t>
            </w:r>
          </w:p>
        </w:tc>
        <w:tc>
          <w:tcPr>
            <w:tcW w:w="1860" w:type="dxa"/>
            <w:vMerge w:val="restart"/>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公开时限</w:t>
            </w:r>
          </w:p>
        </w:tc>
        <w:tc>
          <w:tcPr>
            <w:tcW w:w="1023" w:type="dxa"/>
            <w:vMerge w:val="restart"/>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公开主体</w:t>
            </w:r>
          </w:p>
        </w:tc>
        <w:tc>
          <w:tcPr>
            <w:tcW w:w="1496" w:type="dxa"/>
            <w:vMerge w:val="restart"/>
            <w:noWrap w:val="0"/>
            <w:vAlign w:val="center"/>
          </w:tcPr>
          <w:p>
            <w:pPr>
              <w:widowControl/>
              <w:jc w:val="center"/>
              <w:rPr>
                <w:rFonts w:hint="eastAsia" w:ascii="黑体" w:hAnsi="宋体" w:eastAsia="黑体" w:cs="宋体"/>
                <w:b/>
                <w:bCs/>
                <w:kern w:val="0"/>
                <w:sz w:val="21"/>
                <w:szCs w:val="21"/>
              </w:rPr>
            </w:pPr>
            <w:r>
              <w:rPr>
                <w:rFonts w:hint="eastAsia" w:ascii="黑体" w:hAnsi="宋体" w:eastAsia="黑体" w:cs="宋体"/>
                <w:b/>
                <w:bCs/>
                <w:kern w:val="0"/>
                <w:sz w:val="21"/>
                <w:szCs w:val="21"/>
              </w:rPr>
              <w:t>公开渠道和载体</w:t>
            </w:r>
          </w:p>
        </w:tc>
        <w:tc>
          <w:tcPr>
            <w:tcW w:w="1384" w:type="dxa"/>
            <w:gridSpan w:val="2"/>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公开对象</w:t>
            </w:r>
          </w:p>
        </w:tc>
        <w:tc>
          <w:tcPr>
            <w:tcW w:w="1440" w:type="dxa"/>
            <w:gridSpan w:val="2"/>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公开方式</w:t>
            </w:r>
          </w:p>
        </w:tc>
        <w:tc>
          <w:tcPr>
            <w:tcW w:w="1080" w:type="dxa"/>
            <w:gridSpan w:val="2"/>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noWrap w:val="0"/>
            <w:vAlign w:val="center"/>
          </w:tcPr>
          <w:p>
            <w:pPr>
              <w:widowControl/>
              <w:jc w:val="center"/>
              <w:rPr>
                <w:rFonts w:hint="eastAsia" w:ascii="仿宋_GB2312" w:hAnsi="Times New Roman" w:eastAsia="仿宋_GB2312"/>
                <w:b/>
                <w:bCs/>
                <w:color w:val="000000"/>
                <w:kern w:val="0"/>
                <w:sz w:val="21"/>
                <w:szCs w:val="21"/>
              </w:rPr>
            </w:pPr>
          </w:p>
        </w:tc>
        <w:tc>
          <w:tcPr>
            <w:tcW w:w="900" w:type="dxa"/>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一级事项</w:t>
            </w:r>
          </w:p>
        </w:tc>
        <w:tc>
          <w:tcPr>
            <w:tcW w:w="1080" w:type="dxa"/>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二级事项</w:t>
            </w:r>
          </w:p>
        </w:tc>
        <w:tc>
          <w:tcPr>
            <w:tcW w:w="2520" w:type="dxa"/>
            <w:vMerge w:val="continue"/>
            <w:noWrap w:val="0"/>
            <w:vAlign w:val="center"/>
          </w:tcPr>
          <w:p>
            <w:pPr>
              <w:widowControl/>
              <w:jc w:val="left"/>
              <w:rPr>
                <w:rFonts w:hint="eastAsia" w:ascii="黑体" w:hAnsi="宋体" w:eastAsia="黑体" w:cs="宋体"/>
                <w:b/>
                <w:bCs/>
                <w:color w:val="000000"/>
                <w:kern w:val="0"/>
                <w:sz w:val="21"/>
                <w:szCs w:val="21"/>
              </w:rPr>
            </w:pPr>
          </w:p>
        </w:tc>
        <w:tc>
          <w:tcPr>
            <w:tcW w:w="2337" w:type="dxa"/>
            <w:vMerge w:val="continue"/>
            <w:noWrap w:val="0"/>
            <w:vAlign w:val="center"/>
          </w:tcPr>
          <w:p>
            <w:pPr>
              <w:widowControl/>
              <w:jc w:val="left"/>
              <w:rPr>
                <w:rFonts w:hint="eastAsia" w:ascii="黑体" w:hAnsi="宋体" w:eastAsia="黑体" w:cs="宋体"/>
                <w:b/>
                <w:bCs/>
                <w:color w:val="000000"/>
                <w:kern w:val="0"/>
                <w:sz w:val="21"/>
                <w:szCs w:val="21"/>
              </w:rPr>
            </w:pPr>
          </w:p>
        </w:tc>
        <w:tc>
          <w:tcPr>
            <w:tcW w:w="1860" w:type="dxa"/>
            <w:vMerge w:val="continue"/>
            <w:noWrap w:val="0"/>
            <w:vAlign w:val="center"/>
          </w:tcPr>
          <w:p>
            <w:pPr>
              <w:widowControl/>
              <w:jc w:val="left"/>
              <w:rPr>
                <w:rFonts w:hint="eastAsia" w:ascii="黑体" w:hAnsi="宋体" w:eastAsia="黑体" w:cs="宋体"/>
                <w:b/>
                <w:bCs/>
                <w:color w:val="000000"/>
                <w:kern w:val="0"/>
                <w:sz w:val="21"/>
                <w:szCs w:val="21"/>
              </w:rPr>
            </w:pPr>
          </w:p>
        </w:tc>
        <w:tc>
          <w:tcPr>
            <w:tcW w:w="1023" w:type="dxa"/>
            <w:vMerge w:val="continue"/>
            <w:noWrap w:val="0"/>
            <w:vAlign w:val="center"/>
          </w:tcPr>
          <w:p>
            <w:pPr>
              <w:widowControl/>
              <w:jc w:val="center"/>
              <w:rPr>
                <w:rFonts w:hint="eastAsia" w:ascii="黑体" w:hAnsi="宋体" w:eastAsia="黑体" w:cs="宋体"/>
                <w:b/>
                <w:bCs/>
                <w:color w:val="000000"/>
                <w:kern w:val="0"/>
                <w:sz w:val="21"/>
                <w:szCs w:val="21"/>
              </w:rPr>
            </w:pPr>
          </w:p>
        </w:tc>
        <w:tc>
          <w:tcPr>
            <w:tcW w:w="1496" w:type="dxa"/>
            <w:vMerge w:val="continue"/>
            <w:noWrap w:val="0"/>
            <w:vAlign w:val="center"/>
          </w:tcPr>
          <w:p>
            <w:pPr>
              <w:widowControl/>
              <w:jc w:val="left"/>
              <w:rPr>
                <w:rFonts w:hint="eastAsia" w:ascii="黑体" w:hAnsi="宋体" w:eastAsia="黑体" w:cs="宋体"/>
                <w:b/>
                <w:bCs/>
                <w:kern w:val="0"/>
                <w:sz w:val="21"/>
                <w:szCs w:val="21"/>
              </w:rPr>
            </w:pPr>
          </w:p>
        </w:tc>
        <w:tc>
          <w:tcPr>
            <w:tcW w:w="664" w:type="dxa"/>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全社会</w:t>
            </w:r>
          </w:p>
        </w:tc>
        <w:tc>
          <w:tcPr>
            <w:tcW w:w="720" w:type="dxa"/>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特定群众</w:t>
            </w:r>
          </w:p>
        </w:tc>
        <w:tc>
          <w:tcPr>
            <w:tcW w:w="720" w:type="dxa"/>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主动</w:t>
            </w:r>
          </w:p>
        </w:tc>
        <w:tc>
          <w:tcPr>
            <w:tcW w:w="720" w:type="dxa"/>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依申请公开</w:t>
            </w:r>
          </w:p>
        </w:tc>
        <w:tc>
          <w:tcPr>
            <w:tcW w:w="540" w:type="dxa"/>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县级</w:t>
            </w:r>
          </w:p>
        </w:tc>
        <w:tc>
          <w:tcPr>
            <w:tcW w:w="540" w:type="dxa"/>
            <w:noWrap w:val="0"/>
            <w:vAlign w:val="center"/>
          </w:tcPr>
          <w:p>
            <w:pPr>
              <w:widowControl/>
              <w:jc w:val="center"/>
              <w:rPr>
                <w:rFonts w:hint="eastAsia" w:ascii="黑体" w:hAnsi="宋体" w:eastAsia="黑体" w:cs="宋体"/>
                <w:b/>
                <w:bCs/>
                <w:color w:val="000000"/>
                <w:kern w:val="0"/>
                <w:sz w:val="21"/>
                <w:szCs w:val="21"/>
              </w:rPr>
            </w:pPr>
            <w:r>
              <w:rPr>
                <w:rFonts w:hint="eastAsia" w:ascii="黑体" w:hAnsi="宋体" w:eastAsia="黑体" w:cs="宋体"/>
                <w:b/>
                <w:bCs/>
                <w:color w:val="000000"/>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w:t>
            </w:r>
          </w:p>
        </w:tc>
        <w:tc>
          <w:tcPr>
            <w:tcW w:w="900"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政策</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文件</w:t>
            </w: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法律法规</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与安全生产有关的法律、法规</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信息形成或变更之日起20个工作日内</w:t>
            </w:r>
          </w:p>
        </w:tc>
        <w:tc>
          <w:tcPr>
            <w:tcW w:w="1023" w:type="dxa"/>
            <w:noWrap w:val="0"/>
            <w:vAlign w:val="center"/>
          </w:tcPr>
          <w:p>
            <w:pPr>
              <w:jc w:val="left"/>
              <w:rPr>
                <w:rFonts w:hint="eastAsia" w:ascii="黑体" w:hAnsi="黑体" w:eastAsia="黑体" w:cs="黑体"/>
                <w:bCs/>
                <w:sz w:val="18"/>
                <w:szCs w:val="18"/>
                <w:lang w:eastAsia="zh-CN"/>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vMerge w:val="restart"/>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■两微一端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部门和地方规章</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与安全生产有关的部门和地方规章</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信息形成或变更之日起20个工作日内</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vMerge w:val="continue"/>
            <w:noWrap w:val="0"/>
            <w:vAlign w:val="center"/>
          </w:tcPr>
          <w:p>
            <w:pPr>
              <w:spacing w:line="240" w:lineRule="exact"/>
              <w:jc w:val="left"/>
              <w:rPr>
                <w:rFonts w:hint="eastAsia" w:ascii="黑体" w:hAnsi="黑体" w:eastAsia="黑体" w:cs="黑体"/>
                <w:sz w:val="18"/>
                <w:szCs w:val="18"/>
              </w:rPr>
            </w:pP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3</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其他政策文件</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其他可以公开的与安全生产有关的政策文件，包括改革方案、发展规划、专项规划、工作计划等</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信息形成或变更之日起20个工作日内</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vMerge w:val="continue"/>
            <w:noWrap w:val="0"/>
            <w:vAlign w:val="center"/>
          </w:tcPr>
          <w:p>
            <w:pPr>
              <w:spacing w:line="240" w:lineRule="exact"/>
              <w:jc w:val="left"/>
              <w:rPr>
                <w:rFonts w:hint="eastAsia" w:ascii="黑体" w:hAnsi="黑体" w:eastAsia="黑体" w:cs="黑体"/>
                <w:sz w:val="18"/>
                <w:szCs w:val="18"/>
              </w:rPr>
            </w:pP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4</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标准</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安全生产领域有关的国家标准、行业标准、地方标准等</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信息形成或变更之日起20个工作日内</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vMerge w:val="continue"/>
            <w:noWrap w:val="0"/>
            <w:vAlign w:val="center"/>
          </w:tcPr>
          <w:p>
            <w:pPr>
              <w:spacing w:line="240" w:lineRule="exact"/>
              <w:jc w:val="left"/>
              <w:rPr>
                <w:rFonts w:hint="eastAsia" w:ascii="黑体" w:hAnsi="黑体" w:eastAsia="黑体" w:cs="黑体"/>
                <w:sz w:val="18"/>
                <w:szCs w:val="18"/>
              </w:rPr>
            </w:pP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5</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重大决策草案</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涉及管理相对人切身利益、需社会广泛知晓的重要改革方案等重大决策，决策前向社会公开决策草案、决策依据</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《政府信息公开条例》、《关于全面推进政务公开工作的意见》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按进展情况及时公开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■两微一端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6</w:t>
            </w:r>
          </w:p>
        </w:tc>
        <w:tc>
          <w:tcPr>
            <w:tcW w:w="900"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政策</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文件</w:t>
            </w: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重大政策解读及回应</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有关重大政策的解读与回应，安全生产相关热点问题的解读与回应</w:t>
            </w:r>
          </w:p>
        </w:tc>
        <w:tc>
          <w:tcPr>
            <w:tcW w:w="2337" w:type="dxa"/>
            <w:noWrap w:val="0"/>
            <w:vAlign w:val="top"/>
          </w:tcPr>
          <w:p>
            <w:pPr>
              <w:jc w:val="left"/>
              <w:rPr>
                <w:rFonts w:hint="eastAsia" w:ascii="黑体" w:hAnsi="黑体" w:eastAsia="黑体" w:cs="黑体"/>
                <w:sz w:val="18"/>
                <w:szCs w:val="18"/>
              </w:rPr>
            </w:pPr>
            <w:r>
              <w:rPr>
                <w:rFonts w:hint="eastAsia" w:ascii="黑体" w:hAnsi="黑体" w:eastAsia="黑体" w:cs="黑体"/>
                <w:bCs/>
                <w:color w:val="000000"/>
                <w:sz w:val="18"/>
                <w:szCs w:val="18"/>
              </w:rPr>
              <w:t>《政府信息公开条例》、《关于全面推进政务公开工作的意见》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重大决策作出后及时公开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■两微一端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■广播电视   </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7</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重要会议</w:t>
            </w:r>
          </w:p>
        </w:tc>
        <w:tc>
          <w:tcPr>
            <w:tcW w:w="25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通过会议讨论作出重要改革方案等重大决策时，经党组研究认为有必要公开讨论决策过程的会议</w:t>
            </w:r>
          </w:p>
        </w:tc>
        <w:tc>
          <w:tcPr>
            <w:tcW w:w="2337" w:type="dxa"/>
            <w:noWrap w:val="0"/>
            <w:vAlign w:val="top"/>
          </w:tcPr>
          <w:p>
            <w:pPr>
              <w:jc w:val="left"/>
              <w:rPr>
                <w:rFonts w:hint="eastAsia" w:ascii="黑体" w:hAnsi="黑体" w:eastAsia="黑体" w:cs="黑体"/>
                <w:sz w:val="18"/>
                <w:szCs w:val="18"/>
              </w:rPr>
            </w:pPr>
            <w:r>
              <w:rPr>
                <w:rFonts w:hint="eastAsia" w:ascii="黑体" w:hAnsi="黑体" w:eastAsia="黑体" w:cs="黑体"/>
                <w:bCs/>
                <w:color w:val="000000"/>
                <w:sz w:val="18"/>
                <w:szCs w:val="18"/>
              </w:rPr>
              <w:t>《政府信息公开条例》、《关于全面推进政务公开工作的意见》</w:t>
            </w:r>
          </w:p>
        </w:tc>
        <w:tc>
          <w:tcPr>
            <w:tcW w:w="186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提前一周发通知邀请</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   ■便民服务站</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8</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征集采纳社会公众意见情况</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重大决策草案公布后征集到的社会公众意见情况、采纳与否情况及理由等</w:t>
            </w:r>
          </w:p>
        </w:tc>
        <w:tc>
          <w:tcPr>
            <w:tcW w:w="2337" w:type="dxa"/>
            <w:noWrap w:val="0"/>
            <w:vAlign w:val="top"/>
          </w:tcPr>
          <w:p>
            <w:pPr>
              <w:jc w:val="left"/>
              <w:rPr>
                <w:rFonts w:hint="eastAsia" w:ascii="黑体" w:hAnsi="黑体" w:eastAsia="黑体" w:cs="黑体"/>
                <w:sz w:val="18"/>
                <w:szCs w:val="18"/>
              </w:rPr>
            </w:pPr>
            <w:r>
              <w:rPr>
                <w:rFonts w:hint="eastAsia" w:ascii="黑体" w:hAnsi="黑体" w:eastAsia="黑体" w:cs="黑体"/>
                <w:bCs/>
                <w:color w:val="000000"/>
                <w:sz w:val="18"/>
                <w:szCs w:val="18"/>
              </w:rPr>
              <w:t>《政府信息公开条例》、《关于全面推进政务公开工作的意见》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征求意见时对外公布的时限内公开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■两微一端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9</w:t>
            </w:r>
          </w:p>
        </w:tc>
        <w:tc>
          <w:tcPr>
            <w:tcW w:w="9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依法</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行政</w:t>
            </w: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行政许可</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办理行政许可和其他对外管理服务事项的依据、条件、程序</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《政府信息公开条例》、《关于推进安全生产领域改革发展的意见》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信息形成或变更之日起20个工作日内</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■两微一端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10</w:t>
            </w:r>
          </w:p>
        </w:tc>
        <w:tc>
          <w:tcPr>
            <w:tcW w:w="900"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依法</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行政</w:t>
            </w: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行政处罚</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办理行政处罚的依据、条件、程序以及本级行政机关认为具有一定社会影响的行政处罚决定</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《政府信息公开条例》、《关于推进安全生产领域改革发展的意见》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信息形成或变更之日起20个工作日内</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■两微一端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11</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行政强制</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办理行政强制的依据、条件、程序</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《政府信息公开条例》、《突发事件应对法》、《突发事件应急预案管理办法》、《中共中央 国务院关于推进安全生产领域改革发展的意见》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信息形成或变更之日起20个工作日内</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■两微一端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12</w:t>
            </w:r>
          </w:p>
        </w:tc>
        <w:tc>
          <w:tcPr>
            <w:tcW w:w="9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行政</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管理</w:t>
            </w: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隐患管理</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重大隐患排查、挂牌督办及其整改情况，安全生产举报电话等</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《安全生产法》、《政府信息公开条例》、《中共中央 国务院关于推进安全生产领域改革发展的意见》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按进展情况及时公开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   ■两微一端   ■广播电视   ■公开查阅点</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■公示栏</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13</w:t>
            </w:r>
          </w:p>
        </w:tc>
        <w:tc>
          <w:tcPr>
            <w:tcW w:w="900"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行政</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管理</w:t>
            </w: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应急管理</w:t>
            </w:r>
          </w:p>
        </w:tc>
        <w:tc>
          <w:tcPr>
            <w:tcW w:w="25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xml:space="preserve">承担处置主责、非敏感的应急信息，包括事故灾害类预警信息、事故信息、事故后采取的应急处置措施和应对结果等  </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《政府信息公开条例》、《突发事件应对法》、《关于全面加强政务公开工作的意见》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按进展情况及时公开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■两微一端   ■公开查阅点 </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■便民服务站</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■公示栏</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14</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黑名单管理</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列入或撤销纳入安全生产黑名单管理的企业信息，具体企业名称、证照编号、经营地址、负责人姓名等</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《政府信息公开条例》、《社会信用体系建设规划纲要（2014-2020年）》</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信息形成或变更之日起20个工作日内</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■两微一端   ■公开查阅点 </w:t>
            </w:r>
          </w:p>
          <w:p>
            <w:pPr>
              <w:spacing w:line="240" w:lineRule="exact"/>
              <w:jc w:val="left"/>
              <w:rPr>
                <w:rFonts w:hint="eastAsia" w:ascii="黑体" w:hAnsi="黑体" w:eastAsia="黑体" w:cs="黑体"/>
                <w:sz w:val="18"/>
                <w:szCs w:val="18"/>
                <w:lang w:eastAsia="zh-CN"/>
              </w:rPr>
            </w:pP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15</w:t>
            </w:r>
          </w:p>
        </w:tc>
        <w:tc>
          <w:tcPr>
            <w:tcW w:w="900"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行政</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管理</w:t>
            </w: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事故通报</w:t>
            </w:r>
          </w:p>
        </w:tc>
        <w:tc>
          <w:tcPr>
            <w:tcW w:w="25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《安全生产法》、《政府信息公开条例》、《中共中央 国务院关于推进安全生产领域改革发展的意见》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按照中央有关要求公开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■两微一端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16</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动态信息</w:t>
            </w:r>
          </w:p>
        </w:tc>
        <w:tc>
          <w:tcPr>
            <w:tcW w:w="25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业务工作动态、安全生产执法检查动态</w:t>
            </w:r>
          </w:p>
        </w:tc>
        <w:tc>
          <w:tcPr>
            <w:tcW w:w="2337"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《政府信息公开条例》、《中共中央 国务院关于推进安全生产领域改革发展的意见》</w:t>
            </w:r>
          </w:p>
        </w:tc>
        <w:tc>
          <w:tcPr>
            <w:tcW w:w="186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按进展情况及时公开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■政府网站   ■两微一端   ■发布会</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■广播电视   ■纸质媒体</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■其他</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17</w:t>
            </w:r>
          </w:p>
        </w:tc>
        <w:tc>
          <w:tcPr>
            <w:tcW w:w="9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行政</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管理</w:t>
            </w: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安全生产预警提示信息</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气象及灾害预警信息            不同时段、不同领域安全生产提示信息</w:t>
            </w:r>
          </w:p>
        </w:tc>
        <w:tc>
          <w:tcPr>
            <w:tcW w:w="2337"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《政府信息公开条例》、《中共中央 国务院关于推进安全生产领域改革发展的意见》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信息形成后及时公开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■政府网站   ■两微一端   ■发布会</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■广播电视   ■纸质媒体</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■便民服务站 ■入户/现场</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■社区/企事业单位、村公示栏（电子屏）</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■精准推送   ■其他</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18</w:t>
            </w:r>
          </w:p>
        </w:tc>
        <w:tc>
          <w:tcPr>
            <w:tcW w:w="900"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公共</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服务</w:t>
            </w: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政务公开目录</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政务公开事项的索引、名称、内容概述、生成日期等</w:t>
            </w:r>
          </w:p>
        </w:tc>
        <w:tc>
          <w:tcPr>
            <w:tcW w:w="2337"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《政府信息公开条例》、《中共中央 国务院关于推进安全生产领域改革发展的意见》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按进展情况及时公开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19</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政务公开标准</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政府信息公开指南等流程性信息</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按进展情况及时公开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20</w:t>
            </w:r>
          </w:p>
        </w:tc>
        <w:tc>
          <w:tcPr>
            <w:tcW w:w="900"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公共</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服务</w:t>
            </w:r>
          </w:p>
        </w:tc>
        <w:tc>
          <w:tcPr>
            <w:tcW w:w="108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权力清单及责任清单</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同级政府审批通过的行政执法主体信息和行政许可、行政处罚、行政强制、行政检查、行政确认、行政奖励及其他行政职权等行政执法职权职责清单</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《政府信息公开条例》、《中共中央 国务院关于推进安全生产领域改革发展的意见》</w:t>
            </w:r>
          </w:p>
        </w:tc>
        <w:tc>
          <w:tcPr>
            <w:tcW w:w="186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信息形成或者变更20个工作日内，如有更新，及时公开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21</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主要业务办事指南</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主要业务工作的办事依据、程序、时限，办事时间、地点、部门、联系方式及相关办理结果</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《政府信息公开条例》、《中共中央 国务院关于推进安全生产领域改革发展的意见》</w:t>
            </w:r>
          </w:p>
        </w:tc>
        <w:tc>
          <w:tcPr>
            <w:tcW w:w="186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信息形成或者变更之日起20个工作日内</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22</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年度报告</w:t>
            </w:r>
          </w:p>
        </w:tc>
        <w:tc>
          <w:tcPr>
            <w:tcW w:w="25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政府信息公开年度报告及相关统计报表</w:t>
            </w:r>
          </w:p>
        </w:tc>
        <w:tc>
          <w:tcPr>
            <w:tcW w:w="2337"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《政府信息公开条例》</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每年1月31日前</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23</w:t>
            </w:r>
          </w:p>
        </w:tc>
        <w:tc>
          <w:tcPr>
            <w:tcW w:w="9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重点</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领域</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公开</w:t>
            </w:r>
          </w:p>
        </w:tc>
        <w:tc>
          <w:tcPr>
            <w:tcW w:w="108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财政资金信息</w:t>
            </w:r>
          </w:p>
        </w:tc>
        <w:tc>
          <w:tcPr>
            <w:tcW w:w="25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预算、决算</w:t>
            </w:r>
          </w:p>
          <w:p>
            <w:pPr>
              <w:jc w:val="left"/>
              <w:rPr>
                <w:rFonts w:hint="eastAsia" w:ascii="黑体" w:hAnsi="黑体" w:eastAsia="黑体" w:cs="黑体"/>
                <w:bCs/>
                <w:sz w:val="18"/>
                <w:szCs w:val="18"/>
              </w:rPr>
            </w:pPr>
            <w:r>
              <w:rPr>
                <w:rFonts w:hint="eastAsia" w:ascii="黑体" w:hAnsi="黑体" w:eastAsia="黑体" w:cs="黑体"/>
                <w:bCs/>
                <w:sz w:val="18"/>
                <w:szCs w:val="18"/>
              </w:rPr>
              <w:t xml:space="preserve"> “三公”经费</w:t>
            </w:r>
          </w:p>
          <w:p>
            <w:pPr>
              <w:jc w:val="left"/>
              <w:rPr>
                <w:rFonts w:hint="eastAsia" w:ascii="黑体" w:hAnsi="黑体" w:eastAsia="黑体" w:cs="黑体"/>
                <w:bCs/>
                <w:sz w:val="18"/>
                <w:szCs w:val="18"/>
              </w:rPr>
            </w:pPr>
            <w:r>
              <w:rPr>
                <w:rFonts w:hint="eastAsia" w:ascii="黑体" w:hAnsi="黑体" w:eastAsia="黑体" w:cs="黑体"/>
                <w:bCs/>
                <w:sz w:val="18"/>
                <w:szCs w:val="18"/>
              </w:rPr>
              <w:t>安全生产专项资金使用等财政资金信息</w:t>
            </w:r>
          </w:p>
        </w:tc>
        <w:tc>
          <w:tcPr>
            <w:tcW w:w="2337"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《政府信息公开条例》、《国务院关于深化预算管理制度改革的决定》、《国务院办公厅关于进一步推进预算公开工作意见的通知》</w:t>
            </w:r>
          </w:p>
        </w:tc>
        <w:tc>
          <w:tcPr>
            <w:tcW w:w="186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按中央要求时限公开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24</w:t>
            </w:r>
          </w:p>
        </w:tc>
        <w:tc>
          <w:tcPr>
            <w:tcW w:w="900"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重点</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领域</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公开</w:t>
            </w:r>
          </w:p>
        </w:tc>
        <w:tc>
          <w:tcPr>
            <w:tcW w:w="108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政府采购信息</w:t>
            </w:r>
          </w:p>
        </w:tc>
        <w:tc>
          <w:tcPr>
            <w:tcW w:w="25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本单位采购实施情况相关信息</w:t>
            </w:r>
          </w:p>
        </w:tc>
        <w:tc>
          <w:tcPr>
            <w:tcW w:w="2337"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《政府信息公开条例》、《国务院关于深化预算管理制度改革的决定》、中办、国办印发《关于进一步推进预算公开工作的意见》的通知</w:t>
            </w:r>
          </w:p>
        </w:tc>
        <w:tc>
          <w:tcPr>
            <w:tcW w:w="186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按进展情况及时公开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25</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办事纪律和监督管理</w:t>
            </w:r>
          </w:p>
        </w:tc>
        <w:tc>
          <w:tcPr>
            <w:tcW w:w="25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本单位的办事纪律,受理投诉、举报、信访的途径等内容</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《政府信息公开条例》、《中共中央 国务院关于推进安全生产领域改革发展的意见》</w:t>
            </w:r>
          </w:p>
        </w:tc>
        <w:tc>
          <w:tcPr>
            <w:tcW w:w="186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按进展情况及时公开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26</w:t>
            </w:r>
          </w:p>
        </w:tc>
        <w:tc>
          <w:tcPr>
            <w:tcW w:w="900"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重点</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领域</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w:t>
            </w:r>
          </w:p>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公开</w:t>
            </w: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重大工程项目信息</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项目名称、执行措施、责任分工、取得成效、后续举措等</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《政府信息公开条例》、《国务院办公厅关于推进重大建设项目批准和实施领域政府信息公开的意见》</w:t>
            </w:r>
          </w:p>
        </w:tc>
        <w:tc>
          <w:tcPr>
            <w:tcW w:w="186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按照中央有关要求公开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■政府网站</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27</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检查和巡查发现安全监管监察问题</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检查和巡查发现的、并要求向社会公开的问题及整改落实情况</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《政府信息公开条例》、《中共中央 国务院关于推进安全生产领域改革发展的意见》</w:t>
            </w:r>
          </w:p>
        </w:tc>
        <w:tc>
          <w:tcPr>
            <w:tcW w:w="186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按进展情况及时公开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■公开查阅点 </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28</w:t>
            </w:r>
          </w:p>
        </w:tc>
        <w:tc>
          <w:tcPr>
            <w:tcW w:w="900" w:type="dxa"/>
            <w:vMerge w:val="continue"/>
            <w:noWrap w:val="0"/>
            <w:vAlign w:val="center"/>
          </w:tcPr>
          <w:p>
            <w:pPr>
              <w:jc w:val="left"/>
              <w:rPr>
                <w:rFonts w:hint="eastAsia" w:ascii="黑体" w:hAnsi="黑体" w:eastAsia="黑体" w:cs="黑体"/>
                <w:color w:val="000000"/>
                <w:sz w:val="18"/>
                <w:szCs w:val="18"/>
              </w:rPr>
            </w:pPr>
          </w:p>
        </w:tc>
        <w:tc>
          <w:tcPr>
            <w:tcW w:w="108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建议提案办理</w:t>
            </w:r>
          </w:p>
        </w:tc>
        <w:tc>
          <w:tcPr>
            <w:tcW w:w="25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xml:space="preserve">办理制度与推进情况            </w:t>
            </w:r>
          </w:p>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xml:space="preserve">人大代表建议办理              </w:t>
            </w:r>
          </w:p>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政协委员提案办理</w:t>
            </w:r>
          </w:p>
        </w:tc>
        <w:tc>
          <w:tcPr>
            <w:tcW w:w="2337"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《政府信息公开条例》、《国务院办公厅关于做好全国人大代表建议和全国政协委员提案办理结果公开工作的通知》</w:t>
            </w:r>
          </w:p>
        </w:tc>
        <w:tc>
          <w:tcPr>
            <w:tcW w:w="186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按照中央有关要求公开</w:t>
            </w:r>
          </w:p>
        </w:tc>
        <w:tc>
          <w:tcPr>
            <w:tcW w:w="1023"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应急管理</w:t>
            </w:r>
            <w:r>
              <w:rPr>
                <w:rFonts w:hint="eastAsia" w:ascii="黑体" w:hAnsi="黑体" w:eastAsia="黑体" w:cs="黑体"/>
                <w:bCs/>
                <w:sz w:val="18"/>
                <w:szCs w:val="18"/>
                <w:lang w:eastAsia="zh-CN"/>
              </w:rPr>
              <w:t>局</w:t>
            </w:r>
          </w:p>
        </w:tc>
        <w:tc>
          <w:tcPr>
            <w:tcW w:w="1496"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 xml:space="preserve">■政府网站   ■公开查阅点 </w:t>
            </w:r>
          </w:p>
          <w:p>
            <w:pPr>
              <w:spacing w:line="240" w:lineRule="exact"/>
              <w:jc w:val="left"/>
              <w:rPr>
                <w:rFonts w:hint="eastAsia" w:ascii="黑体" w:hAnsi="黑体" w:eastAsia="黑体" w:cs="黑体"/>
                <w:bCs/>
                <w:sz w:val="18"/>
                <w:szCs w:val="18"/>
              </w:rPr>
            </w:pPr>
            <w:r>
              <w:rPr>
                <w:rFonts w:hint="eastAsia" w:ascii="黑体" w:hAnsi="黑体" w:eastAsia="黑体" w:cs="黑体"/>
                <w:sz w:val="18"/>
                <w:szCs w:val="18"/>
              </w:rPr>
              <w:t>■便民服务站</w:t>
            </w:r>
          </w:p>
        </w:tc>
        <w:tc>
          <w:tcPr>
            <w:tcW w:w="664"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72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72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c>
          <w:tcPr>
            <w:tcW w:w="540" w:type="dxa"/>
            <w:noWrap w:val="0"/>
            <w:vAlign w:val="center"/>
          </w:tcPr>
          <w:p>
            <w:pPr>
              <w:jc w:val="left"/>
              <w:rPr>
                <w:rFonts w:hint="eastAsia" w:ascii="黑体" w:hAnsi="黑体" w:eastAsia="黑体" w:cs="黑体"/>
                <w:bCs/>
                <w:sz w:val="18"/>
                <w:szCs w:val="18"/>
              </w:rPr>
            </w:pPr>
            <w:r>
              <w:rPr>
                <w:rFonts w:hint="eastAsia" w:ascii="黑体" w:hAnsi="黑体" w:eastAsia="黑体" w:cs="黑体"/>
                <w:bCs/>
                <w:sz w:val="18"/>
                <w:szCs w:val="18"/>
              </w:rPr>
              <w:t>√</w:t>
            </w:r>
          </w:p>
        </w:tc>
        <w:tc>
          <w:tcPr>
            <w:tcW w:w="540" w:type="dxa"/>
            <w:noWrap w:val="0"/>
            <w:vAlign w:val="center"/>
          </w:tcPr>
          <w:p>
            <w:pPr>
              <w:jc w:val="left"/>
              <w:rPr>
                <w:rFonts w:hint="eastAsia" w:ascii="黑体" w:hAnsi="黑体" w:eastAsia="黑体" w:cs="黑体"/>
                <w:bCs/>
                <w:color w:val="000000"/>
                <w:sz w:val="18"/>
                <w:szCs w:val="18"/>
              </w:rPr>
            </w:pPr>
            <w:r>
              <w:rPr>
                <w:rFonts w:hint="eastAsia" w:ascii="黑体" w:hAnsi="黑体" w:eastAsia="黑体" w:cs="黑体"/>
                <w:bCs/>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NTg2YjY5N2Q0YzllMjY1NTU5MjZkZDQ5ZmNkOTIifQ=="/>
  </w:docVars>
  <w:rsids>
    <w:rsidRoot w:val="5EAB2288"/>
    <w:rsid w:val="5EAB2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中宋" w:cs="永中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
    </w:pPr>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2022-11-16T02:58:00Z</dcterms:created>
  <dc:creator>Administrator</dc:creator>
  <cp:lastModifiedBy>Administrator</cp:lastModifiedBy>
  <dcterms:modified xsi:type="dcterms:W3CDTF">2022-11-16T02:59:24Z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E4F2A8580D044CBD928DCA8792BEBECA</vt:lpwstr>
  </property>
</Properties>
</file>