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default" w:ascii="宋体" w:hAnsi="宋体" w:cs="宋体"/>
          <w:b/>
          <w:bCs/>
          <w:color w:val="auto"/>
          <w:sz w:val="36"/>
          <w:szCs w:val="36"/>
          <w:highlight w:val="none"/>
          <w:lang w:val="en-US" w:eastAsia="zh-CN"/>
        </w:rPr>
      </w:pPr>
    </w:p>
    <w:p>
      <w:pPr>
        <w:ind w:firstLine="0" w:firstLineChars="0"/>
        <w:jc w:val="center"/>
        <w:rPr>
          <w:rFonts w:hint="default" w:ascii="宋体" w:hAnsi="宋体" w:cs="宋体"/>
          <w:b/>
          <w:bCs/>
          <w:color w:val="auto"/>
          <w:sz w:val="36"/>
          <w:szCs w:val="36"/>
          <w:highlight w:val="none"/>
          <w:lang w:val="en-US" w:eastAsia="zh-CN"/>
        </w:rPr>
      </w:pPr>
    </w:p>
    <w:p>
      <w:pPr>
        <w:ind w:firstLine="0" w:firstLineChars="0"/>
        <w:jc w:val="center"/>
        <w:rPr>
          <w:rFonts w:hint="default" w:ascii="宋体" w:hAnsi="宋体" w:cs="宋体"/>
          <w:b/>
          <w:bCs/>
          <w:color w:val="auto"/>
          <w:sz w:val="36"/>
          <w:szCs w:val="36"/>
          <w:highlight w:val="none"/>
          <w:lang w:val="en-US" w:eastAsia="zh-CN"/>
        </w:rPr>
      </w:pPr>
    </w:p>
    <w:p>
      <w:pPr>
        <w:ind w:firstLine="0" w:firstLineChars="0"/>
        <w:jc w:val="center"/>
        <w:rPr>
          <w:rFonts w:hint="default" w:ascii="宋体" w:hAnsi="宋体" w:cs="宋体"/>
          <w:b/>
          <w:bCs/>
          <w:color w:val="auto"/>
          <w:sz w:val="36"/>
          <w:szCs w:val="36"/>
          <w:highlight w:val="none"/>
          <w:lang w:val="en-US" w:eastAsia="zh-CN"/>
        </w:rPr>
      </w:pPr>
    </w:p>
    <w:p>
      <w:pPr>
        <w:ind w:firstLine="0" w:firstLineChars="0"/>
        <w:jc w:val="center"/>
        <w:rPr>
          <w:rFonts w:hint="eastAsia" w:ascii="宋体" w:hAnsi="宋体" w:cs="宋体"/>
          <w:b/>
          <w:bCs/>
          <w:color w:val="auto"/>
          <w:sz w:val="36"/>
          <w:szCs w:val="36"/>
          <w:highlight w:val="none"/>
          <w:lang w:val="en-US" w:eastAsia="zh-CN"/>
        </w:rPr>
      </w:pPr>
    </w:p>
    <w:p>
      <w:pPr>
        <w:ind w:firstLine="0" w:firstLineChars="0"/>
        <w:jc w:val="center"/>
        <w:rPr>
          <w:rFonts w:hint="eastAsia" w:ascii="宋体" w:hAnsi="宋体" w:cs="宋体"/>
          <w:b/>
          <w:bCs/>
          <w:color w:val="auto"/>
          <w:sz w:val="36"/>
          <w:szCs w:val="36"/>
          <w:highlight w:val="none"/>
          <w:lang w:val="en-US" w:eastAsia="zh-CN"/>
        </w:rPr>
      </w:pPr>
    </w:p>
    <w:p>
      <w:pPr>
        <w:ind w:firstLine="0" w:firstLineChars="0"/>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抚松县重污染天气应急预案</w:t>
      </w:r>
    </w:p>
    <w:p>
      <w:pPr>
        <w:ind w:firstLine="0" w:firstLineChars="0"/>
        <w:jc w:val="center"/>
        <w:rPr>
          <w:rFonts w:hint="default"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（修订版）</w:t>
      </w:r>
    </w:p>
    <w:p>
      <w:pPr>
        <w:ind w:firstLine="0" w:firstLineChars="0"/>
        <w:jc w:val="center"/>
        <w:rPr>
          <w:rFonts w:hint="default" w:ascii="宋体" w:hAnsi="宋体" w:cs="宋体"/>
          <w:b/>
          <w:bCs/>
          <w:color w:val="auto"/>
          <w:sz w:val="44"/>
          <w:szCs w:val="44"/>
          <w:highlight w:val="none"/>
          <w:lang w:val="en-US" w:eastAsia="zh-CN"/>
        </w:rPr>
      </w:pPr>
    </w:p>
    <w:p>
      <w:pPr>
        <w:ind w:firstLine="0" w:firstLineChars="0"/>
        <w:jc w:val="center"/>
        <w:rPr>
          <w:rFonts w:hint="default" w:ascii="宋体" w:hAnsi="宋体" w:cs="宋体"/>
          <w:b/>
          <w:bCs/>
          <w:color w:val="auto"/>
          <w:sz w:val="44"/>
          <w:szCs w:val="44"/>
          <w:highlight w:val="none"/>
          <w:lang w:val="en-US" w:eastAsia="zh-CN"/>
        </w:rPr>
      </w:pPr>
    </w:p>
    <w:p>
      <w:pPr>
        <w:ind w:firstLine="0" w:firstLineChars="0"/>
        <w:jc w:val="center"/>
        <w:rPr>
          <w:rFonts w:hint="default" w:ascii="宋体" w:hAnsi="宋体" w:cs="宋体"/>
          <w:b/>
          <w:bCs/>
          <w:color w:val="auto"/>
          <w:sz w:val="44"/>
          <w:szCs w:val="44"/>
          <w:highlight w:val="none"/>
          <w:lang w:val="en-US" w:eastAsia="zh-CN"/>
        </w:rPr>
      </w:pPr>
    </w:p>
    <w:p>
      <w:pPr>
        <w:ind w:firstLine="0" w:firstLineChars="0"/>
        <w:jc w:val="center"/>
        <w:rPr>
          <w:rFonts w:hint="default" w:ascii="宋体" w:hAnsi="宋体" w:cs="宋体"/>
          <w:b/>
          <w:bCs/>
          <w:color w:val="auto"/>
          <w:sz w:val="44"/>
          <w:szCs w:val="44"/>
          <w:highlight w:val="none"/>
          <w:lang w:val="en-US" w:eastAsia="zh-CN"/>
        </w:rPr>
      </w:pPr>
    </w:p>
    <w:p>
      <w:pPr>
        <w:ind w:firstLine="0" w:firstLineChars="0"/>
        <w:jc w:val="center"/>
        <w:rPr>
          <w:rFonts w:hint="default" w:ascii="宋体" w:hAnsi="宋体" w:cs="宋体"/>
          <w:b/>
          <w:bCs/>
          <w:color w:val="auto"/>
          <w:sz w:val="44"/>
          <w:szCs w:val="44"/>
          <w:highlight w:val="none"/>
          <w:lang w:val="en-US" w:eastAsia="zh-CN"/>
        </w:rPr>
      </w:pPr>
    </w:p>
    <w:p>
      <w:pPr>
        <w:ind w:firstLine="0" w:firstLineChars="0"/>
        <w:jc w:val="center"/>
        <w:rPr>
          <w:rFonts w:hint="default" w:ascii="宋体" w:hAnsi="宋体" w:cs="宋体"/>
          <w:b/>
          <w:bCs/>
          <w:color w:val="auto"/>
          <w:sz w:val="44"/>
          <w:szCs w:val="44"/>
          <w:highlight w:val="none"/>
          <w:lang w:val="en-US" w:eastAsia="zh-CN"/>
        </w:rPr>
      </w:pPr>
    </w:p>
    <w:p>
      <w:pPr>
        <w:ind w:firstLine="0" w:firstLineChars="0"/>
        <w:jc w:val="center"/>
        <w:rPr>
          <w:rFonts w:hint="default" w:ascii="宋体" w:hAnsi="宋体" w:cs="宋体"/>
          <w:b/>
          <w:bCs/>
          <w:color w:val="auto"/>
          <w:sz w:val="44"/>
          <w:szCs w:val="44"/>
          <w:highlight w:val="none"/>
          <w:lang w:val="en-US" w:eastAsia="zh-CN"/>
        </w:rPr>
      </w:pPr>
    </w:p>
    <w:p>
      <w:pPr>
        <w:ind w:firstLine="0" w:firstLineChars="0"/>
        <w:jc w:val="center"/>
        <w:rPr>
          <w:rFonts w:hint="default" w:ascii="宋体" w:hAnsi="宋体" w:cs="宋体"/>
          <w:b/>
          <w:bCs/>
          <w:color w:val="auto"/>
          <w:sz w:val="44"/>
          <w:szCs w:val="44"/>
          <w:highlight w:val="none"/>
          <w:lang w:val="en-US" w:eastAsia="zh-CN"/>
        </w:rPr>
      </w:pPr>
    </w:p>
    <w:p>
      <w:pPr>
        <w:ind w:firstLine="0" w:firstLineChars="0"/>
        <w:jc w:val="center"/>
        <w:rPr>
          <w:rFonts w:hint="default" w:ascii="宋体" w:hAnsi="宋体" w:cs="宋体"/>
          <w:b/>
          <w:bCs/>
          <w:color w:val="auto"/>
          <w:sz w:val="44"/>
          <w:szCs w:val="44"/>
          <w:highlight w:val="none"/>
          <w:lang w:val="en-US" w:eastAsia="zh-CN"/>
        </w:rPr>
      </w:pPr>
    </w:p>
    <w:p>
      <w:pPr>
        <w:ind w:firstLine="0" w:firstLineChars="0"/>
        <w:jc w:val="center"/>
        <w:rPr>
          <w:rFonts w:hint="default" w:ascii="宋体" w:hAnsi="宋体" w:cs="宋体"/>
          <w:b/>
          <w:bCs/>
          <w:color w:val="auto"/>
          <w:sz w:val="44"/>
          <w:szCs w:val="44"/>
          <w:highlight w:val="none"/>
          <w:lang w:val="en-US" w:eastAsia="zh-CN"/>
        </w:rPr>
      </w:pPr>
    </w:p>
    <w:p>
      <w:pPr>
        <w:ind w:firstLine="0" w:firstLineChars="0"/>
        <w:jc w:val="both"/>
        <w:rPr>
          <w:rFonts w:hint="default" w:ascii="宋体" w:hAnsi="宋体" w:cs="宋体"/>
          <w:b/>
          <w:bCs/>
          <w:color w:val="auto"/>
          <w:sz w:val="44"/>
          <w:szCs w:val="44"/>
          <w:highlight w:val="none"/>
          <w:lang w:val="en-US" w:eastAsia="zh-CN"/>
        </w:rPr>
      </w:pPr>
    </w:p>
    <w:p>
      <w:pPr>
        <w:ind w:firstLine="0" w:firstLineChars="0"/>
        <w:jc w:val="center"/>
        <w:rPr>
          <w:rFonts w:hint="default" w:ascii="宋体" w:hAnsi="宋体" w:cs="宋体"/>
          <w:b/>
          <w:bCs/>
          <w:color w:val="auto"/>
          <w:sz w:val="44"/>
          <w:szCs w:val="44"/>
          <w:highlight w:val="none"/>
          <w:lang w:val="en-US" w:eastAsia="zh-CN"/>
        </w:rPr>
      </w:pPr>
    </w:p>
    <w:p>
      <w:pPr>
        <w:ind w:firstLine="0" w:firstLineChars="0"/>
        <w:jc w:val="center"/>
        <w:rPr>
          <w:rFonts w:hint="default" w:ascii="宋体" w:hAnsi="宋体" w:cs="宋体"/>
          <w:b/>
          <w:bCs/>
          <w:color w:val="auto"/>
          <w:sz w:val="44"/>
          <w:szCs w:val="44"/>
          <w:highlight w:val="none"/>
          <w:lang w:val="en-US" w:eastAsia="zh-CN"/>
        </w:rPr>
      </w:pPr>
    </w:p>
    <w:p>
      <w:pPr>
        <w:ind w:firstLine="0" w:firstLineChars="0"/>
        <w:jc w:val="center"/>
        <w:rPr>
          <w:rFonts w:hint="default" w:ascii="宋体" w:hAnsi="宋体" w:cs="宋体"/>
          <w:b/>
          <w:bCs/>
          <w:color w:val="auto"/>
          <w:sz w:val="44"/>
          <w:szCs w:val="44"/>
          <w:highlight w:val="none"/>
          <w:lang w:val="en-US" w:eastAsia="zh-CN"/>
        </w:rPr>
      </w:pPr>
    </w:p>
    <w:p>
      <w:pPr>
        <w:ind w:firstLine="0" w:firstLineChars="0"/>
        <w:jc w:val="center"/>
        <w:rPr>
          <w:rFonts w:hint="eastAsia" w:ascii="宋体" w:hAnsi="宋体" w:cs="宋体"/>
          <w:b/>
          <w:bCs/>
          <w:color w:val="auto"/>
          <w:sz w:val="36"/>
          <w:szCs w:val="36"/>
          <w:highlight w:val="none"/>
          <w:lang w:val="en-US" w:eastAsia="zh-CN"/>
        </w:rPr>
      </w:pPr>
      <w:r>
        <w:rPr>
          <w:rFonts w:hint="eastAsia" w:ascii="宋体" w:hAnsi="宋体" w:cs="宋体"/>
          <w:b/>
          <w:bCs/>
          <w:color w:val="auto"/>
          <w:sz w:val="44"/>
          <w:szCs w:val="44"/>
          <w:highlight w:val="none"/>
          <w:lang w:val="en-US" w:eastAsia="zh-CN"/>
        </w:rPr>
        <w:t>2024年4月</w:t>
      </w:r>
    </w:p>
    <w:p>
      <w:pPr>
        <w:ind w:firstLine="0" w:firstLineChars="0"/>
        <w:jc w:val="both"/>
        <w:rPr>
          <w:rFonts w:hint="default" w:ascii="宋体" w:hAnsi="宋体" w:cs="宋体"/>
          <w:b/>
          <w:bCs/>
          <w:color w:val="auto"/>
          <w:sz w:val="36"/>
          <w:szCs w:val="36"/>
          <w:highlight w:val="none"/>
          <w:lang w:val="en-US" w:eastAsia="zh-CN"/>
        </w:rPr>
        <w:sectPr>
          <w:footerReference r:id="rId3" w:type="default"/>
          <w:pgSz w:w="11906" w:h="16839"/>
          <w:pgMar w:top="1440" w:right="1800" w:bottom="1440" w:left="1800" w:header="0" w:footer="2476" w:gutter="0"/>
          <w:cols w:space="720" w:num="1"/>
        </w:sectPr>
      </w:pP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outlineLvl w:val="9"/>
        <w:rPr>
          <w:rFonts w:hint="eastAsia" w:ascii="宋体" w:hAnsi="宋体" w:eastAsia="宋体" w:cs="宋体"/>
          <w:b/>
          <w:color w:val="auto"/>
          <w:w w:val="95"/>
          <w:kern w:val="0"/>
          <w:sz w:val="28"/>
          <w:szCs w:val="22"/>
          <w:highlight w:val="none"/>
          <w:lang w:val="zh-CN" w:bidi="zh-CN"/>
        </w:rPr>
      </w:pPr>
      <w:r>
        <w:rPr>
          <w:rFonts w:hint="eastAsia" w:ascii="宋体" w:hAnsi="宋体" w:eastAsia="宋体" w:cs="宋体"/>
          <w:b/>
          <w:color w:val="auto"/>
          <w:w w:val="95"/>
          <w:kern w:val="0"/>
          <w:sz w:val="28"/>
          <w:szCs w:val="22"/>
          <w:highlight w:val="none"/>
          <w:lang w:val="zh-CN" w:bidi="zh-CN"/>
        </w:rPr>
        <w:t>预案编号：</w:t>
      </w:r>
      <w:r>
        <w:rPr>
          <w:rFonts w:hint="eastAsia" w:ascii="宋体" w:hAnsi="宋体" w:cs="宋体"/>
          <w:b/>
          <w:color w:val="auto"/>
          <w:w w:val="95"/>
          <w:kern w:val="0"/>
          <w:sz w:val="28"/>
          <w:szCs w:val="22"/>
          <w:highlight w:val="none"/>
          <w:lang w:val="en-US" w:bidi="zh-CN"/>
        </w:rPr>
        <w:t>FSXZ</w:t>
      </w:r>
      <w:r>
        <w:rPr>
          <w:rFonts w:hint="eastAsia" w:ascii="宋体" w:hAnsi="宋体" w:eastAsia="宋体" w:cs="宋体"/>
          <w:b/>
          <w:color w:val="auto"/>
          <w:w w:val="95"/>
          <w:kern w:val="0"/>
          <w:sz w:val="28"/>
          <w:szCs w:val="22"/>
          <w:highlight w:val="none"/>
          <w:lang w:val="en-US" w:bidi="zh-CN"/>
        </w:rPr>
        <w:t>-</w:t>
      </w:r>
      <w:r>
        <w:rPr>
          <w:rFonts w:hint="eastAsia" w:ascii="宋体" w:hAnsi="宋体" w:cs="宋体"/>
          <w:b/>
          <w:color w:val="auto"/>
          <w:w w:val="95"/>
          <w:kern w:val="0"/>
          <w:sz w:val="28"/>
          <w:szCs w:val="22"/>
          <w:highlight w:val="none"/>
          <w:lang w:val="en-US" w:bidi="zh-CN"/>
        </w:rPr>
        <w:t>ZWR</w:t>
      </w:r>
      <w:r>
        <w:rPr>
          <w:rFonts w:hint="eastAsia" w:ascii="宋体" w:hAnsi="宋体" w:eastAsia="宋体" w:cs="宋体"/>
          <w:b/>
          <w:color w:val="auto"/>
          <w:w w:val="95"/>
          <w:kern w:val="0"/>
          <w:sz w:val="28"/>
          <w:szCs w:val="22"/>
          <w:highlight w:val="none"/>
          <w:lang w:val="zh-CN" w:bidi="zh-CN"/>
        </w:rPr>
        <w:t>YA-202</w:t>
      </w:r>
      <w:r>
        <w:rPr>
          <w:rFonts w:hint="eastAsia" w:ascii="宋体" w:hAnsi="宋体" w:cs="宋体"/>
          <w:b/>
          <w:color w:val="auto"/>
          <w:w w:val="95"/>
          <w:kern w:val="0"/>
          <w:sz w:val="28"/>
          <w:szCs w:val="22"/>
          <w:highlight w:val="none"/>
          <w:lang w:val="en-US" w:bidi="zh-CN"/>
        </w:rPr>
        <w:t>4</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outlineLvl w:val="9"/>
        <w:rPr>
          <w:rFonts w:hint="eastAsia" w:ascii="宋体" w:hAnsi="宋体" w:eastAsia="宋体" w:cs="宋体"/>
          <w:b/>
          <w:color w:val="auto"/>
          <w:w w:val="95"/>
          <w:kern w:val="0"/>
          <w:sz w:val="28"/>
          <w:szCs w:val="22"/>
          <w:highlight w:val="none"/>
          <w:lang w:val="zh-CN" w:bidi="zh-CN"/>
        </w:rPr>
      </w:pPr>
      <w:r>
        <w:rPr>
          <w:rFonts w:hint="eastAsia" w:ascii="宋体" w:hAnsi="宋体" w:eastAsia="宋体" w:cs="宋体"/>
          <w:b/>
          <w:color w:val="auto"/>
          <w:w w:val="95"/>
          <w:kern w:val="0"/>
          <w:sz w:val="28"/>
          <w:szCs w:val="22"/>
          <w:highlight w:val="none"/>
          <w:lang w:val="zh-CN" w:bidi="zh-CN"/>
        </w:rPr>
        <w:t>版 本 号：A/</w:t>
      </w:r>
      <w:r>
        <w:rPr>
          <w:rFonts w:hint="eastAsia" w:ascii="宋体" w:hAnsi="宋体" w:cs="宋体"/>
          <w:b/>
          <w:color w:val="auto"/>
          <w:w w:val="95"/>
          <w:kern w:val="0"/>
          <w:sz w:val="28"/>
          <w:szCs w:val="22"/>
          <w:highlight w:val="none"/>
          <w:lang w:val="en-US" w:bidi="zh-CN"/>
        </w:rPr>
        <w:t>1</w:t>
      </w:r>
    </w:p>
    <w:p>
      <w:pPr>
        <w:widowControl w:val="0"/>
        <w:autoSpaceDE w:val="0"/>
        <w:autoSpaceDN w:val="0"/>
        <w:spacing w:before="0" w:after="0" w:line="240" w:lineRule="auto"/>
        <w:ind w:left="0" w:right="0"/>
        <w:jc w:val="left"/>
        <w:rPr>
          <w:rFonts w:hint="eastAsia" w:ascii="宋体" w:hAnsi="宋体" w:eastAsia="宋体" w:cs="宋体"/>
          <w:b/>
          <w:color w:val="auto"/>
          <w:sz w:val="28"/>
          <w:szCs w:val="24"/>
          <w:lang w:val="zh-CN" w:eastAsia="zh-CN" w:bidi="zh-CN"/>
        </w:rPr>
      </w:pPr>
    </w:p>
    <w:p>
      <w:pPr>
        <w:widowControl w:val="0"/>
        <w:autoSpaceDE w:val="0"/>
        <w:autoSpaceDN w:val="0"/>
        <w:spacing w:before="0" w:after="0" w:line="240" w:lineRule="auto"/>
        <w:ind w:left="0" w:right="0"/>
        <w:jc w:val="left"/>
        <w:rPr>
          <w:rFonts w:hint="eastAsia" w:ascii="宋体" w:hAnsi="宋体" w:eastAsia="宋体" w:cs="宋体"/>
          <w:b/>
          <w:color w:val="auto"/>
          <w:sz w:val="28"/>
          <w:szCs w:val="24"/>
          <w:lang w:val="zh-CN" w:eastAsia="zh-CN" w:bidi="zh-CN"/>
        </w:rPr>
      </w:pPr>
    </w:p>
    <w:p>
      <w:pPr>
        <w:widowControl w:val="0"/>
        <w:autoSpaceDE w:val="0"/>
        <w:autoSpaceDN w:val="0"/>
        <w:spacing w:before="7" w:after="0" w:line="240" w:lineRule="auto"/>
        <w:ind w:left="0" w:right="0"/>
        <w:jc w:val="left"/>
        <w:rPr>
          <w:rFonts w:hint="eastAsia" w:ascii="宋体" w:hAnsi="宋体" w:eastAsia="宋体" w:cs="宋体"/>
          <w:b/>
          <w:color w:val="auto"/>
          <w:sz w:val="30"/>
          <w:szCs w:val="24"/>
          <w:lang w:val="zh-CN" w:eastAsia="zh-CN" w:bidi="zh-CN"/>
        </w:rPr>
      </w:pPr>
    </w:p>
    <w:p>
      <w:pPr>
        <w:ind w:firstLine="0" w:firstLineChars="0"/>
        <w:jc w:val="center"/>
        <w:rPr>
          <w:rFonts w:hint="eastAsia" w:ascii="宋体" w:hAnsi="宋体" w:eastAsia="宋体" w:cs="宋体"/>
          <w:b/>
          <w:bCs/>
          <w:color w:val="auto"/>
          <w:sz w:val="36"/>
          <w:szCs w:val="36"/>
          <w:highlight w:val="none"/>
          <w:lang w:val="zh-CN" w:eastAsia="zh-CN"/>
        </w:rPr>
      </w:pPr>
      <w:r>
        <w:rPr>
          <w:rFonts w:hint="eastAsia" w:ascii="宋体" w:hAnsi="宋体" w:cs="宋体"/>
          <w:b/>
          <w:bCs/>
          <w:color w:val="auto"/>
          <w:sz w:val="36"/>
          <w:szCs w:val="36"/>
          <w:highlight w:val="none"/>
          <w:lang w:val="en-US" w:eastAsia="zh-CN"/>
        </w:rPr>
        <w:t>抚松县重污染天气</w:t>
      </w:r>
    </w:p>
    <w:p>
      <w:pPr>
        <w:ind w:firstLine="0" w:firstLineChars="0"/>
        <w:jc w:val="center"/>
        <w:rPr>
          <w:rFonts w:hint="eastAsia" w:ascii="宋体" w:hAnsi="宋体" w:eastAsia="宋体" w:cs="宋体"/>
          <w:b/>
          <w:bCs/>
          <w:color w:val="auto"/>
          <w:sz w:val="36"/>
          <w:szCs w:val="36"/>
          <w:highlight w:val="none"/>
          <w:lang w:val="zh-CN" w:eastAsia="zh-CN"/>
        </w:rPr>
      </w:pPr>
      <w:r>
        <w:rPr>
          <w:rFonts w:hint="eastAsia" w:ascii="宋体" w:hAnsi="宋体" w:eastAsia="宋体" w:cs="宋体"/>
          <w:b/>
          <w:bCs/>
          <w:color w:val="auto"/>
          <w:sz w:val="36"/>
          <w:szCs w:val="36"/>
          <w:highlight w:val="none"/>
          <w:lang w:val="zh-CN" w:eastAsia="zh-CN"/>
        </w:rPr>
        <w:t>应急预案</w:t>
      </w:r>
      <w:r>
        <w:rPr>
          <w:rFonts w:hint="eastAsia" w:ascii="宋体" w:hAnsi="宋体" w:cs="宋体"/>
          <w:b/>
          <w:bCs/>
          <w:color w:val="auto"/>
          <w:sz w:val="36"/>
          <w:szCs w:val="36"/>
          <w:highlight w:val="none"/>
          <w:lang w:val="zh-CN" w:eastAsia="zh-CN"/>
        </w:rPr>
        <w:t>（</w:t>
      </w:r>
      <w:r>
        <w:rPr>
          <w:rFonts w:hint="eastAsia" w:ascii="宋体" w:hAnsi="宋体" w:cs="宋体"/>
          <w:b/>
          <w:bCs/>
          <w:color w:val="auto"/>
          <w:sz w:val="36"/>
          <w:szCs w:val="36"/>
          <w:highlight w:val="none"/>
          <w:lang w:val="en-US" w:eastAsia="zh-CN"/>
        </w:rPr>
        <w:t>修订版</w:t>
      </w:r>
      <w:r>
        <w:rPr>
          <w:rFonts w:hint="eastAsia" w:ascii="宋体" w:hAnsi="宋体" w:cs="宋体"/>
          <w:b/>
          <w:bCs/>
          <w:color w:val="auto"/>
          <w:sz w:val="36"/>
          <w:szCs w:val="36"/>
          <w:highlight w:val="none"/>
          <w:lang w:val="zh-CN" w:eastAsia="zh-CN"/>
        </w:rPr>
        <w:t>）</w:t>
      </w: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p>
      <w:pPr>
        <w:pStyle w:val="15"/>
        <w:rPr>
          <w:rFonts w:hint="eastAsia" w:ascii="宋体" w:hAnsi="宋体" w:eastAsia="宋体" w:cs="宋体"/>
          <w:b/>
          <w:smallCaps/>
          <w:color w:val="auto"/>
          <w:w w:val="95"/>
          <w:kern w:val="0"/>
          <w:sz w:val="24"/>
          <w:szCs w:val="22"/>
          <w:lang w:val="zh-CN" w:bidi="zh-CN"/>
        </w:rPr>
      </w:pPr>
    </w:p>
    <w:tbl>
      <w:tblPr>
        <w:tblStyle w:val="21"/>
        <w:tblW w:w="9354" w:type="dxa"/>
        <w:jc w:val="center"/>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6597"/>
        <w:gridCol w:w="2757"/>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6597" w:type="dxa"/>
            <w:tcBorders>
              <w:tl2br w:val="nil"/>
              <w:tr2bl w:val="nil"/>
            </w:tcBorders>
            <w:noWrap w:val="0"/>
            <w:vAlign w:val="top"/>
          </w:tcPr>
          <w:p>
            <w:pPr>
              <w:spacing w:line="360" w:lineRule="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eastAsia="zh-CN"/>
              </w:rPr>
              <w:t>发布日期：</w:t>
            </w:r>
            <w:r>
              <w:rPr>
                <w:rFonts w:hint="default" w:ascii="Times New Roman" w:hAnsi="Times New Roman" w:eastAsia="宋体" w:cs="Times New Roman"/>
                <w:b/>
                <w:bCs/>
                <w:color w:val="auto"/>
                <w:sz w:val="24"/>
                <w:szCs w:val="24"/>
                <w:vertAlign w:val="baseline"/>
                <w:lang w:val="en-US" w:eastAsia="zh-CN"/>
              </w:rPr>
              <w:t>202</w:t>
            </w:r>
            <w:r>
              <w:rPr>
                <w:rFonts w:hint="eastAsia"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年</w:t>
            </w:r>
            <w:r>
              <w:rPr>
                <w:rFonts w:hint="eastAsia"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月</w:t>
            </w:r>
          </w:p>
        </w:tc>
        <w:tc>
          <w:tcPr>
            <w:tcW w:w="2757" w:type="dxa"/>
            <w:tcBorders>
              <w:tl2br w:val="nil"/>
              <w:tr2bl w:val="nil"/>
            </w:tcBorders>
            <w:noWrap w:val="0"/>
            <w:vAlign w:val="top"/>
          </w:tcPr>
          <w:p>
            <w:pPr>
              <w:spacing w:line="360" w:lineRule="auto"/>
              <w:jc w:val="right"/>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eastAsia="zh-CN"/>
              </w:rPr>
              <w:t>实施日期：</w:t>
            </w:r>
            <w:r>
              <w:rPr>
                <w:rFonts w:hint="default" w:ascii="Times New Roman" w:hAnsi="Times New Roman" w:eastAsia="宋体" w:cs="Times New Roman"/>
                <w:b/>
                <w:bCs/>
                <w:color w:val="auto"/>
                <w:sz w:val="24"/>
                <w:szCs w:val="24"/>
                <w:vertAlign w:val="baseline"/>
                <w:lang w:val="en-US" w:eastAsia="zh-CN"/>
              </w:rPr>
              <w:t>202</w:t>
            </w:r>
            <w:r>
              <w:rPr>
                <w:rFonts w:hint="eastAsia"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年</w:t>
            </w:r>
            <w:r>
              <w:rPr>
                <w:rFonts w:hint="eastAsia"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月</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6597" w:type="dxa"/>
            <w:tcBorders>
              <w:tl2br w:val="nil"/>
              <w:tr2bl w:val="nil"/>
            </w:tcBorders>
            <w:noWrap w:val="0"/>
            <w:vAlign w:val="top"/>
          </w:tcPr>
          <w:p>
            <w:pPr>
              <w:spacing w:line="360" w:lineRule="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编制单位：</w:t>
            </w:r>
            <w:r>
              <w:rPr>
                <w:rFonts w:hint="eastAsia" w:cs="Times New Roman"/>
                <w:b/>
                <w:bCs/>
                <w:color w:val="auto"/>
                <w:spacing w:val="-6"/>
                <w:sz w:val="24"/>
                <w:szCs w:val="24"/>
                <w:vertAlign w:val="baseline"/>
                <w:lang w:eastAsia="zh-CN"/>
              </w:rPr>
              <w:t>抚松县人民政府</w:t>
            </w:r>
          </w:p>
        </w:tc>
        <w:tc>
          <w:tcPr>
            <w:tcW w:w="2757" w:type="dxa"/>
            <w:tcBorders>
              <w:tl2br w:val="nil"/>
              <w:tr2bl w:val="nil"/>
            </w:tcBorders>
            <w:noWrap w:val="0"/>
            <w:vAlign w:val="top"/>
          </w:tcPr>
          <w:p>
            <w:pPr>
              <w:spacing w:line="360" w:lineRule="auto"/>
              <w:jc w:val="right"/>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eastAsia="zh-CN"/>
              </w:rPr>
              <w:t>编制时间：</w:t>
            </w:r>
            <w:r>
              <w:rPr>
                <w:rFonts w:hint="default" w:ascii="Times New Roman" w:hAnsi="Times New Roman" w:eastAsia="宋体" w:cs="Times New Roman"/>
                <w:b/>
                <w:bCs/>
                <w:color w:val="auto"/>
                <w:sz w:val="24"/>
                <w:szCs w:val="24"/>
                <w:vertAlign w:val="baseline"/>
                <w:lang w:val="en-US" w:eastAsia="zh-CN"/>
              </w:rPr>
              <w:t>202</w:t>
            </w:r>
            <w:r>
              <w:rPr>
                <w:rFonts w:hint="eastAsia"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年</w:t>
            </w:r>
            <w:r>
              <w:rPr>
                <w:rFonts w:hint="eastAsia"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月</w:t>
            </w:r>
          </w:p>
        </w:tc>
      </w:tr>
    </w:tbl>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Times New Roman" w:hAnsi="Times New Roman" w:eastAsia="宋体" w:cs="Times New Roman"/>
          <w:b/>
          <w:bCs/>
          <w:color w:val="auto"/>
          <w:sz w:val="28"/>
          <w:szCs w:val="28"/>
          <w:lang w:val="en-US" w:eastAsia="zh-CN"/>
        </w:rPr>
        <w:sectPr>
          <w:headerReference r:id="rId4" w:type="default"/>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颁  布  令</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各乡镇人民政府，县政府各局办、事业单位，中省直单位：</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为了对</w:t>
      </w:r>
      <w:r>
        <w:rPr>
          <w:rFonts w:hint="eastAsia" w:cs="Times New Roman"/>
          <w:color w:val="auto"/>
          <w:sz w:val="24"/>
          <w:szCs w:val="24"/>
          <w:lang w:val="en-US" w:eastAsia="zh-CN"/>
        </w:rPr>
        <w:t>本县域内各企业</w:t>
      </w:r>
      <w:r>
        <w:rPr>
          <w:rFonts w:hint="eastAsia" w:ascii="Times New Roman" w:hAnsi="Times New Roman" w:eastAsia="宋体" w:cs="Times New Roman"/>
          <w:color w:val="auto"/>
          <w:sz w:val="24"/>
          <w:szCs w:val="24"/>
          <w:lang w:val="en-US" w:eastAsia="zh-CN"/>
        </w:rPr>
        <w:t>在</w:t>
      </w:r>
      <w:r>
        <w:rPr>
          <w:rFonts w:hint="eastAsia" w:cs="Times New Roman"/>
          <w:color w:val="auto"/>
          <w:sz w:val="24"/>
          <w:szCs w:val="24"/>
          <w:lang w:val="en-US" w:eastAsia="zh-CN"/>
        </w:rPr>
        <w:t>重污染天气下</w:t>
      </w:r>
      <w:r>
        <w:rPr>
          <w:rFonts w:hint="eastAsia" w:ascii="Times New Roman" w:hAnsi="Times New Roman" w:eastAsia="宋体" w:cs="Times New Roman"/>
          <w:color w:val="auto"/>
          <w:sz w:val="24"/>
          <w:szCs w:val="24"/>
          <w:lang w:val="en-US" w:eastAsia="zh-CN"/>
        </w:rPr>
        <w:t>所造成的环境影响和危害加以控制和预防，</w:t>
      </w:r>
      <w:r>
        <w:rPr>
          <w:color w:val="auto"/>
          <w:sz w:val="24"/>
          <w:szCs w:val="24"/>
        </w:rPr>
        <w:t>提高应对风险和防范事故的能力，规范</w:t>
      </w:r>
      <w:r>
        <w:rPr>
          <w:rFonts w:hint="eastAsia"/>
          <w:color w:val="auto"/>
          <w:sz w:val="24"/>
          <w:szCs w:val="24"/>
          <w:lang w:val="en-US" w:eastAsia="zh-CN"/>
        </w:rPr>
        <w:t>县域内</w:t>
      </w:r>
      <w:r>
        <w:rPr>
          <w:color w:val="auto"/>
          <w:sz w:val="24"/>
          <w:szCs w:val="24"/>
        </w:rPr>
        <w:t>应急管理工作，保证公众生命安全，最大限度减少财产损失、环境损害和社会影响。</w:t>
      </w:r>
      <w:r>
        <w:rPr>
          <w:rFonts w:hint="eastAsia" w:cs="Times New Roman"/>
          <w:color w:val="auto"/>
          <w:sz w:val="24"/>
          <w:szCs w:val="24"/>
          <w:lang w:val="en-US" w:eastAsia="zh-CN"/>
        </w:rPr>
        <w:t>本县</w:t>
      </w:r>
      <w:r>
        <w:rPr>
          <w:rFonts w:hint="eastAsia" w:ascii="Times New Roman" w:hAnsi="Times New Roman" w:eastAsia="宋体" w:cs="Times New Roman"/>
          <w:color w:val="auto"/>
          <w:sz w:val="24"/>
          <w:szCs w:val="24"/>
          <w:lang w:val="en-US" w:eastAsia="zh-CN"/>
        </w:rPr>
        <w:t>按照国家及省、市相关法律、行政法规，由</w:t>
      </w:r>
      <w:r>
        <w:rPr>
          <w:rFonts w:hint="eastAsia" w:cs="Times New Roman"/>
          <w:color w:val="auto"/>
          <w:sz w:val="24"/>
          <w:szCs w:val="24"/>
          <w:lang w:val="en-US" w:eastAsia="zh-CN"/>
        </w:rPr>
        <w:t>抚松县人民政府</w:t>
      </w:r>
      <w:r>
        <w:rPr>
          <w:rFonts w:hint="eastAsia" w:ascii="Times New Roman" w:hAnsi="Times New Roman" w:eastAsia="宋体" w:cs="Times New Roman"/>
          <w:color w:val="auto"/>
          <w:sz w:val="24"/>
          <w:szCs w:val="24"/>
          <w:lang w:val="en-US" w:eastAsia="zh-CN"/>
        </w:rPr>
        <w:t>提出并归纳，修编了本《</w:t>
      </w:r>
      <w:r>
        <w:rPr>
          <w:rFonts w:hint="eastAsia" w:cs="Times New Roman"/>
          <w:color w:val="auto"/>
          <w:sz w:val="24"/>
          <w:szCs w:val="24"/>
          <w:lang w:val="en-US" w:eastAsia="zh-CN"/>
        </w:rPr>
        <w:t>重污染天气</w:t>
      </w:r>
      <w:r>
        <w:rPr>
          <w:rFonts w:hint="eastAsia" w:ascii="Times New Roman" w:hAnsi="Times New Roman" w:eastAsia="宋体" w:cs="Times New Roman"/>
          <w:color w:val="auto"/>
          <w:sz w:val="24"/>
          <w:szCs w:val="24"/>
          <w:lang w:val="en-US" w:eastAsia="zh-CN"/>
        </w:rPr>
        <w:t>应急预案》，预案阐述</w:t>
      </w:r>
      <w:r>
        <w:rPr>
          <w:rFonts w:hint="eastAsia" w:cs="Times New Roman"/>
          <w:color w:val="auto"/>
          <w:sz w:val="24"/>
          <w:szCs w:val="24"/>
          <w:lang w:val="en-US" w:eastAsia="zh-CN"/>
        </w:rPr>
        <w:t>本县</w:t>
      </w:r>
      <w:r>
        <w:rPr>
          <w:rFonts w:hint="eastAsia" w:ascii="Times New Roman" w:hAnsi="Times New Roman" w:eastAsia="宋体" w:cs="Times New Roman"/>
          <w:color w:val="auto"/>
          <w:sz w:val="24"/>
          <w:szCs w:val="24"/>
          <w:lang w:val="en-US" w:eastAsia="zh-CN"/>
        </w:rPr>
        <w:t>突发环境事件的应急机构、程序、方法、措施以及安全管理的法规</w:t>
      </w:r>
      <w:r>
        <w:rPr>
          <w:rFonts w:hint="eastAsia"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作为</w:t>
      </w:r>
      <w:r>
        <w:rPr>
          <w:rFonts w:hint="eastAsia" w:cs="Times New Roman"/>
          <w:color w:val="auto"/>
          <w:sz w:val="24"/>
          <w:szCs w:val="24"/>
          <w:lang w:val="en-US" w:eastAsia="zh-CN"/>
        </w:rPr>
        <w:t>本县</w:t>
      </w:r>
      <w:r>
        <w:rPr>
          <w:rFonts w:hint="eastAsia" w:ascii="Times New Roman" w:hAnsi="Times New Roman" w:eastAsia="宋体" w:cs="Times New Roman"/>
          <w:color w:val="auto"/>
          <w:sz w:val="24"/>
          <w:szCs w:val="24"/>
          <w:lang w:val="en-US" w:eastAsia="zh-CN"/>
        </w:rPr>
        <w:t>环境安全管理体系最高层次的文件，</w:t>
      </w:r>
      <w:r>
        <w:rPr>
          <w:rFonts w:hint="eastAsia" w:cs="Times New Roman"/>
          <w:color w:val="auto"/>
          <w:sz w:val="24"/>
          <w:szCs w:val="24"/>
          <w:lang w:val="en-US" w:eastAsia="zh-CN"/>
        </w:rPr>
        <w:t>由白山市生态环境局抚松县分局定期对本预案进行跟踪修订，以实现可持续改进。并由政府牵头定期组织全县进行预案的培训和演练，适时组织有关企业和专家对部分应急演练进行观摩和交流，使本县域内企业及居民</w:t>
      </w:r>
      <w:r>
        <w:rPr>
          <w:rFonts w:hint="eastAsia" w:ascii="Times New Roman" w:hAnsi="Times New Roman" w:eastAsia="宋体" w:cs="Times New Roman"/>
          <w:color w:val="auto"/>
          <w:sz w:val="24"/>
          <w:szCs w:val="24"/>
          <w:lang w:val="en-US" w:eastAsia="zh-CN"/>
        </w:rPr>
        <w:t>必须深刻领会，认真贯彻执行预案的各项内容和要求，提高环境保护意识及安全第一思想，并在实际工作中担负应有的职责，使《</w:t>
      </w:r>
      <w:r>
        <w:rPr>
          <w:rFonts w:hint="eastAsia" w:cs="Times New Roman"/>
          <w:color w:val="auto"/>
          <w:sz w:val="24"/>
          <w:szCs w:val="24"/>
          <w:lang w:val="en-US" w:eastAsia="zh-CN"/>
        </w:rPr>
        <w:t>重污染天气</w:t>
      </w:r>
      <w:r>
        <w:rPr>
          <w:rFonts w:hint="eastAsia" w:ascii="Times New Roman" w:hAnsi="Times New Roman" w:eastAsia="宋体" w:cs="Times New Roman"/>
          <w:color w:val="auto"/>
          <w:sz w:val="24"/>
          <w:szCs w:val="24"/>
          <w:lang w:val="en-US" w:eastAsia="zh-CN"/>
        </w:rPr>
        <w:t>应急预案》得到全面贯彻落实。</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本预案作为</w:t>
      </w:r>
      <w:r>
        <w:rPr>
          <w:rFonts w:hint="eastAsia" w:cs="Times New Roman"/>
          <w:color w:val="auto"/>
          <w:sz w:val="24"/>
          <w:szCs w:val="24"/>
          <w:lang w:val="en-US" w:eastAsia="zh-CN"/>
        </w:rPr>
        <w:t>抚松县环境</w:t>
      </w:r>
      <w:r>
        <w:rPr>
          <w:rFonts w:hint="eastAsia" w:ascii="Times New Roman" w:hAnsi="Times New Roman" w:eastAsia="宋体" w:cs="Times New Roman"/>
          <w:color w:val="auto"/>
          <w:sz w:val="24"/>
          <w:szCs w:val="24"/>
          <w:lang w:val="en-US" w:eastAsia="zh-CN"/>
        </w:rPr>
        <w:t>安全标准在本</w:t>
      </w:r>
      <w:r>
        <w:rPr>
          <w:rFonts w:hint="eastAsia" w:cs="Times New Roman"/>
          <w:color w:val="auto"/>
          <w:sz w:val="24"/>
          <w:szCs w:val="24"/>
          <w:lang w:val="en-US" w:eastAsia="zh-CN"/>
        </w:rPr>
        <w:t>县辖区内</w:t>
      </w:r>
      <w:r>
        <w:rPr>
          <w:rFonts w:hint="eastAsia" w:ascii="Times New Roman" w:hAnsi="Times New Roman" w:eastAsia="宋体" w:cs="Times New Roman"/>
          <w:color w:val="auto"/>
          <w:sz w:val="24"/>
          <w:szCs w:val="24"/>
          <w:lang w:val="en-US" w:eastAsia="zh-CN"/>
        </w:rPr>
        <w:t>执行。并于公布之日起实施。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主要起草人：</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批准签发：</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负责人签字：</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right"/>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抚松县人民政府</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right"/>
        <w:textAlignment w:val="auto"/>
        <w:rPr>
          <w:rFonts w:hint="eastAsia" w:ascii="Times New Roman" w:hAnsi="Times New Roman" w:eastAsia="宋体" w:cs="Times New Roman"/>
          <w:color w:val="auto"/>
          <w:sz w:val="24"/>
          <w:szCs w:val="24"/>
          <w:lang w:val="en-US" w:eastAsia="zh-CN"/>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r>
        <w:rPr>
          <w:rFonts w:hint="eastAsia" w:ascii="Times New Roman" w:hAnsi="Times New Roman" w:eastAsia="宋体" w:cs="Times New Roman"/>
          <w:color w:val="auto"/>
          <w:sz w:val="24"/>
          <w:szCs w:val="24"/>
          <w:lang w:val="en-US" w:eastAsia="zh-CN"/>
        </w:rPr>
        <w:t>年   月   日</w:t>
      </w:r>
    </w:p>
    <w:p>
      <w:pPr>
        <w:snapToGrid w:val="0"/>
        <w:spacing w:line="240" w:lineRule="auto"/>
        <w:jc w:val="center"/>
        <w:outlineLvl w:val="0"/>
        <w:rPr>
          <w:rStyle w:val="30"/>
          <w:rFonts w:hint="eastAsia" w:ascii="宋体" w:hAnsi="宋体" w:eastAsia="宋体" w:cs="宋体"/>
          <w:b/>
          <w:color w:val="auto"/>
          <w:sz w:val="32"/>
          <w:szCs w:val="32"/>
        </w:rPr>
      </w:pPr>
      <w:bookmarkStart w:id="0" w:name="_Toc21331"/>
      <w:bookmarkStart w:id="1" w:name="_Toc9921"/>
      <w:bookmarkStart w:id="2" w:name="_Toc10559"/>
      <w:bookmarkStart w:id="3" w:name="_Toc30497"/>
      <w:bookmarkStart w:id="4" w:name="_Toc11835"/>
      <w:bookmarkStart w:id="5" w:name="_Toc15414"/>
      <w:bookmarkStart w:id="6" w:name="_Toc2659"/>
      <w:bookmarkStart w:id="7" w:name="_Toc12970"/>
      <w:bookmarkStart w:id="8" w:name="_Toc26725"/>
      <w:bookmarkStart w:id="9" w:name="_Toc8817"/>
      <w:bookmarkStart w:id="10" w:name="_Toc27425"/>
      <w:bookmarkStart w:id="11" w:name="_Toc19379"/>
      <w:bookmarkStart w:id="12" w:name="_Toc31767"/>
      <w:bookmarkStart w:id="13" w:name="_Toc31939"/>
      <w:bookmarkStart w:id="14" w:name="_Toc3149"/>
      <w:bookmarkStart w:id="15" w:name="_Toc26026"/>
      <w:bookmarkStart w:id="16" w:name="_Toc13209"/>
      <w:bookmarkStart w:id="17" w:name="_Toc3518"/>
      <w:r>
        <w:rPr>
          <w:rStyle w:val="30"/>
          <w:rFonts w:hint="eastAsia" w:ascii="宋体" w:hAnsi="宋体" w:eastAsia="宋体" w:cs="宋体"/>
          <w:b/>
          <w:color w:val="auto"/>
          <w:sz w:val="32"/>
          <w:szCs w:val="32"/>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pStyle w:val="13"/>
        <w:tabs>
          <w:tab w:val="right" w:leader="dot" w:pos="9072"/>
        </w:tabs>
        <w:rPr>
          <w:rFonts w:hint="default" w:ascii="Times New Roman" w:hAnsi="Times New Roman" w:cs="Times New Roman"/>
          <w:color w:val="auto"/>
          <w:sz w:val="24"/>
          <w:szCs w:val="24"/>
        </w:rPr>
      </w:pPr>
      <w:r>
        <w:rPr>
          <w:rFonts w:hint="default" w:ascii="Times New Roman" w:hAnsi="Times New Roman" w:eastAsia="宋体" w:cs="Times New Roman"/>
          <w:smallCaps/>
          <w:color w:val="auto"/>
          <w:sz w:val="24"/>
          <w:szCs w:val="24"/>
        </w:rPr>
        <w:fldChar w:fldCharType="begin"/>
      </w:r>
      <w:r>
        <w:rPr>
          <w:rFonts w:hint="default" w:ascii="Times New Roman" w:hAnsi="Times New Roman" w:eastAsia="宋体" w:cs="Times New Roman"/>
          <w:smallCaps/>
          <w:color w:val="auto"/>
          <w:sz w:val="24"/>
          <w:szCs w:val="24"/>
        </w:rPr>
        <w:instrText xml:space="preserve"> TOC \o "1-2" \h \z \u </w:instrText>
      </w:r>
      <w:r>
        <w:rPr>
          <w:rFonts w:hint="default" w:ascii="Times New Roman" w:hAnsi="Times New Roman" w:eastAsia="宋体" w:cs="Times New Roman"/>
          <w:smallCaps/>
          <w:color w:val="auto"/>
          <w:sz w:val="24"/>
          <w:szCs w:val="24"/>
        </w:rPr>
        <w:fldChar w:fldCharType="separate"/>
      </w:r>
      <w:r>
        <w:rPr>
          <w:rFonts w:hint="default" w:ascii="Times New Roman" w:hAnsi="Times New Roman" w:eastAsia="宋体" w:cs="Times New Roman"/>
          <w:smallCaps/>
          <w:color w:val="auto"/>
          <w:sz w:val="24"/>
          <w:szCs w:val="24"/>
        </w:rPr>
        <w:fldChar w:fldCharType="begin"/>
      </w:r>
      <w:r>
        <w:rPr>
          <w:rFonts w:hint="default" w:ascii="Times New Roman" w:hAnsi="Times New Roman" w:eastAsia="宋体" w:cs="Times New Roman"/>
          <w:smallCaps/>
          <w:color w:val="auto"/>
          <w:sz w:val="24"/>
          <w:szCs w:val="24"/>
        </w:rPr>
        <w:instrText xml:space="preserve"> HYPERLINK \l _Toc3024 </w:instrText>
      </w:r>
      <w:r>
        <w:rPr>
          <w:rFonts w:hint="default" w:ascii="Times New Roman" w:hAnsi="Times New Roman" w:eastAsia="宋体" w:cs="Times New Roman"/>
          <w:smallCaps/>
          <w:color w:val="auto"/>
          <w:sz w:val="24"/>
          <w:szCs w:val="24"/>
        </w:rPr>
        <w:fldChar w:fldCharType="separate"/>
      </w:r>
      <w:r>
        <w:rPr>
          <w:rFonts w:hint="default" w:ascii="Times New Roman" w:hAnsi="Times New Roman" w:eastAsia="宋体" w:cs="Times New Roman"/>
          <w:bCs/>
          <w:color w:val="auto"/>
          <w:sz w:val="24"/>
          <w:szCs w:val="24"/>
        </w:rPr>
        <w:t>1</w:t>
      </w:r>
      <w:r>
        <w:rPr>
          <w:rFonts w:hint="default" w:ascii="Times New Roman" w:hAnsi="Times New Roman" w:cs="Times New Roman"/>
          <w:bCs/>
          <w:color w:val="auto"/>
          <w:sz w:val="24"/>
          <w:szCs w:val="24"/>
          <w:lang w:val="en-US" w:eastAsia="zh-CN"/>
        </w:rPr>
        <w:t xml:space="preserve"> </w:t>
      </w:r>
      <w:r>
        <w:rPr>
          <w:rFonts w:hint="default" w:ascii="Times New Roman" w:hAnsi="Times New Roman" w:eastAsia="宋体" w:cs="Times New Roman"/>
          <w:bCs/>
          <w:color w:val="auto"/>
          <w:sz w:val="24"/>
          <w:szCs w:val="24"/>
        </w:rPr>
        <w:t>总则</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_Toc3024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_Toc15314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1.1 编制目的</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_Toc15314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1</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_Toc13152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1.2 编制依据</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_Toc13152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1</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_Toc18921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1.3 适用范围</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_Toc18921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_Toc4837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1.4 预案体系</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_Toc4837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_Toc17822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1.5 工作原则</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_Toc17822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3"/>
        <w:tabs>
          <w:tab w:val="right" w:leader="dot" w:pos="9072"/>
        </w:tabs>
        <w:rPr>
          <w:rFonts w:hint="default" w:ascii="Times New Roman" w:hAnsi="Times New Roman" w:cs="Times New Roman"/>
          <w:color w:val="auto"/>
          <w:sz w:val="24"/>
          <w:szCs w:val="24"/>
        </w:rPr>
      </w:pPr>
      <w:r>
        <w:rPr>
          <w:rFonts w:hint="default" w:ascii="Times New Roman" w:hAnsi="Times New Roman" w:eastAsia="宋体" w:cs="Times New Roman"/>
          <w:smallCaps/>
          <w:color w:val="auto"/>
          <w:sz w:val="24"/>
          <w:szCs w:val="24"/>
        </w:rPr>
        <w:fldChar w:fldCharType="begin"/>
      </w:r>
      <w:r>
        <w:rPr>
          <w:rFonts w:hint="default" w:ascii="Times New Roman" w:hAnsi="Times New Roman" w:eastAsia="宋体" w:cs="Times New Roman"/>
          <w:smallCaps/>
          <w:color w:val="auto"/>
          <w:sz w:val="24"/>
          <w:szCs w:val="24"/>
        </w:rPr>
        <w:instrText xml:space="preserve"> HYPERLINK \l _Toc10779 </w:instrText>
      </w:r>
      <w:r>
        <w:rPr>
          <w:rFonts w:hint="default" w:ascii="Times New Roman" w:hAnsi="Times New Roman" w:eastAsia="宋体" w:cs="Times New Roman"/>
          <w:smallCaps/>
          <w:color w:val="auto"/>
          <w:sz w:val="24"/>
          <w:szCs w:val="24"/>
        </w:rPr>
        <w:fldChar w:fldCharType="separate"/>
      </w:r>
      <w:r>
        <w:rPr>
          <w:rFonts w:hint="default" w:ascii="Times New Roman" w:hAnsi="Times New Roman" w:eastAsia="宋体" w:cs="Times New Roman"/>
          <w:bCs/>
          <w:color w:val="auto"/>
          <w:sz w:val="24"/>
          <w:szCs w:val="24"/>
          <w:lang w:val="en-US" w:eastAsia="zh-CN"/>
        </w:rPr>
        <w:t>2 组织机构和职责</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_Toc10779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_Toc21918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2.1 应急指挥部</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_Toc21918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3</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_Toc6994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2.2 工作机构</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_Toc6994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4</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_Toc14316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2.3 现场指挥机构</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_Toc14316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5</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_Toc1459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2.4成员单位职责</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_Toc1459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5</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3"/>
        <w:tabs>
          <w:tab w:val="right" w:leader="dot" w:pos="9072"/>
        </w:tabs>
        <w:rPr>
          <w:rFonts w:hint="default" w:ascii="Times New Roman" w:hAnsi="Times New Roman" w:cs="Times New Roman"/>
          <w:color w:val="auto"/>
          <w:sz w:val="24"/>
          <w:szCs w:val="24"/>
        </w:rPr>
      </w:pPr>
      <w:r>
        <w:rPr>
          <w:rFonts w:hint="default" w:ascii="Times New Roman" w:hAnsi="Times New Roman" w:eastAsia="宋体" w:cs="Times New Roman"/>
          <w:smallCaps/>
          <w:color w:val="auto"/>
          <w:sz w:val="24"/>
          <w:szCs w:val="24"/>
        </w:rPr>
        <w:fldChar w:fldCharType="begin"/>
      </w:r>
      <w:r>
        <w:rPr>
          <w:rFonts w:hint="default" w:ascii="Times New Roman" w:hAnsi="Times New Roman" w:eastAsia="宋体" w:cs="Times New Roman"/>
          <w:smallCaps/>
          <w:color w:val="auto"/>
          <w:sz w:val="24"/>
          <w:szCs w:val="24"/>
        </w:rPr>
        <w:instrText xml:space="preserve"> HYPERLINK \l _Toc11147 </w:instrText>
      </w:r>
      <w:r>
        <w:rPr>
          <w:rFonts w:hint="default" w:ascii="Times New Roman" w:hAnsi="Times New Roman" w:eastAsia="宋体" w:cs="Times New Roman"/>
          <w:smallCaps/>
          <w:color w:val="auto"/>
          <w:sz w:val="24"/>
          <w:szCs w:val="24"/>
        </w:rPr>
        <w:fldChar w:fldCharType="separate"/>
      </w:r>
      <w:r>
        <w:rPr>
          <w:rFonts w:hint="default" w:ascii="Times New Roman" w:hAnsi="Times New Roman" w:eastAsia="宋体" w:cs="Times New Roman"/>
          <w:bCs/>
          <w:color w:val="auto"/>
          <w:sz w:val="24"/>
          <w:szCs w:val="24"/>
          <w:lang w:val="en-US" w:eastAsia="zh-CN"/>
        </w:rPr>
        <w:t>3 监测预警与信息报告</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_Toc11147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_Toc24230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3.1 监测</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_Toc24230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7</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_Toc8411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3.2 预警</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_Toc8411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8</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_Toc11102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3.3信息上报</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_Toc11102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11</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3"/>
        <w:tabs>
          <w:tab w:val="right" w:leader="dot" w:pos="9072"/>
        </w:tabs>
        <w:rPr>
          <w:rFonts w:hint="default" w:ascii="Times New Roman" w:hAnsi="Times New Roman" w:cs="Times New Roman"/>
          <w:color w:val="auto"/>
          <w:sz w:val="24"/>
          <w:szCs w:val="24"/>
        </w:rPr>
      </w:pPr>
      <w:r>
        <w:rPr>
          <w:rFonts w:hint="default" w:ascii="Times New Roman" w:hAnsi="Times New Roman" w:eastAsia="宋体" w:cs="Times New Roman"/>
          <w:smallCaps/>
          <w:color w:val="auto"/>
          <w:sz w:val="24"/>
          <w:szCs w:val="24"/>
        </w:rPr>
        <w:fldChar w:fldCharType="begin"/>
      </w:r>
      <w:r>
        <w:rPr>
          <w:rFonts w:hint="default" w:ascii="Times New Roman" w:hAnsi="Times New Roman" w:eastAsia="宋体" w:cs="Times New Roman"/>
          <w:smallCaps/>
          <w:color w:val="auto"/>
          <w:sz w:val="24"/>
          <w:szCs w:val="24"/>
        </w:rPr>
        <w:instrText xml:space="preserve"> HYPERLINK \l _Toc11619 </w:instrText>
      </w:r>
      <w:r>
        <w:rPr>
          <w:rFonts w:hint="default" w:ascii="Times New Roman" w:hAnsi="Times New Roman" w:eastAsia="宋体" w:cs="Times New Roman"/>
          <w:smallCaps/>
          <w:color w:val="auto"/>
          <w:sz w:val="24"/>
          <w:szCs w:val="24"/>
        </w:rPr>
        <w:fldChar w:fldCharType="separate"/>
      </w:r>
      <w:r>
        <w:rPr>
          <w:rFonts w:hint="default" w:ascii="Times New Roman" w:hAnsi="Times New Roman" w:eastAsia="宋体" w:cs="Times New Roman"/>
          <w:bCs/>
          <w:color w:val="auto"/>
          <w:sz w:val="24"/>
          <w:szCs w:val="24"/>
          <w:lang w:val="en-US" w:eastAsia="zh-CN"/>
        </w:rPr>
        <w:t>4 应急响应</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_Toc11619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12</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_Toc17368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4.1应急响应分级及内容</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_Toc17368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12</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_Toc26461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4.2应急响应启动</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_Toc26461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12</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_Toc21205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4.3应急响应</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_Toc21205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13</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_Toc11847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4.4县级应急响应</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_Toc11847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19</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_Toc8851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4.5事发区域周边应急响应</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_Toc8851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19</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_Toc20795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4.6督导检查</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_Toc20795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19</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_Toc1101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4.7响应终止</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_Toc1101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21</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_Toc18664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4.8信息公开与报送</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_Toc18664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21</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_Toc20689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4.9信息宣传</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_Toc20689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22</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_Toc10841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4.10人员防护及监护措施</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_Toc10841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22</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3"/>
        <w:tabs>
          <w:tab w:val="right" w:leader="dot" w:pos="9072"/>
        </w:tabs>
        <w:rPr>
          <w:rFonts w:hint="default" w:ascii="Times New Roman" w:hAnsi="Times New Roman" w:cs="Times New Roman"/>
          <w:color w:val="auto"/>
          <w:sz w:val="24"/>
          <w:szCs w:val="24"/>
        </w:rPr>
      </w:pPr>
      <w:r>
        <w:rPr>
          <w:rFonts w:hint="default" w:ascii="Times New Roman" w:hAnsi="Times New Roman" w:eastAsia="宋体" w:cs="Times New Roman"/>
          <w:smallCaps/>
          <w:color w:val="auto"/>
          <w:sz w:val="24"/>
          <w:szCs w:val="24"/>
        </w:rPr>
        <w:fldChar w:fldCharType="begin"/>
      </w:r>
      <w:r>
        <w:rPr>
          <w:rFonts w:hint="default" w:ascii="Times New Roman" w:hAnsi="Times New Roman" w:eastAsia="宋体" w:cs="Times New Roman"/>
          <w:smallCaps/>
          <w:color w:val="auto"/>
          <w:sz w:val="24"/>
          <w:szCs w:val="24"/>
        </w:rPr>
        <w:instrText xml:space="preserve"> HYPERLINK \l _Toc12969 </w:instrText>
      </w:r>
      <w:r>
        <w:rPr>
          <w:rFonts w:hint="default" w:ascii="Times New Roman" w:hAnsi="Times New Roman" w:eastAsia="宋体" w:cs="Times New Roman"/>
          <w:smallCaps/>
          <w:color w:val="auto"/>
          <w:sz w:val="24"/>
          <w:szCs w:val="24"/>
        </w:rPr>
        <w:fldChar w:fldCharType="separate"/>
      </w:r>
      <w:r>
        <w:rPr>
          <w:rFonts w:hint="default" w:ascii="Times New Roman" w:hAnsi="Times New Roman" w:cs="Times New Roman"/>
          <w:bCs/>
          <w:color w:val="auto"/>
          <w:sz w:val="24"/>
          <w:szCs w:val="24"/>
          <w:lang w:val="en-US" w:eastAsia="zh-CN"/>
        </w:rPr>
        <w:t>5</w:t>
      </w:r>
      <w:r>
        <w:rPr>
          <w:rFonts w:hint="default" w:ascii="Times New Roman" w:hAnsi="Times New Roman" w:eastAsia="宋体" w:cs="Times New Roman"/>
          <w:bCs/>
          <w:color w:val="auto"/>
          <w:sz w:val="24"/>
          <w:szCs w:val="24"/>
          <w:lang w:val="en-US" w:eastAsia="zh-CN"/>
        </w:rPr>
        <w:t xml:space="preserve"> </w:t>
      </w:r>
      <w:r>
        <w:rPr>
          <w:rFonts w:hint="default" w:ascii="Times New Roman" w:hAnsi="Times New Roman" w:cs="Times New Roman"/>
          <w:bCs/>
          <w:color w:val="auto"/>
          <w:sz w:val="24"/>
          <w:szCs w:val="24"/>
          <w:lang w:val="en-US" w:eastAsia="zh-CN"/>
        </w:rPr>
        <w:t>总结评估及预防演练</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_Toc12969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23</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_Toc24815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5.1总结评估</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_Toc24815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23</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_Toc11947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5.2预案演练</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_Toc11947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23</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3"/>
        <w:tabs>
          <w:tab w:val="right" w:leader="dot" w:pos="9072"/>
        </w:tabs>
        <w:rPr>
          <w:rFonts w:hint="default" w:ascii="Times New Roman" w:hAnsi="Times New Roman" w:cs="Times New Roman"/>
          <w:color w:val="auto"/>
          <w:sz w:val="24"/>
          <w:szCs w:val="24"/>
        </w:rPr>
      </w:pPr>
      <w:r>
        <w:rPr>
          <w:rFonts w:hint="default" w:ascii="Times New Roman" w:hAnsi="Times New Roman" w:eastAsia="宋体" w:cs="Times New Roman"/>
          <w:smallCaps/>
          <w:color w:val="auto"/>
          <w:sz w:val="24"/>
          <w:szCs w:val="24"/>
        </w:rPr>
        <w:fldChar w:fldCharType="begin"/>
      </w:r>
      <w:r>
        <w:rPr>
          <w:rFonts w:hint="default" w:ascii="Times New Roman" w:hAnsi="Times New Roman" w:eastAsia="宋体" w:cs="Times New Roman"/>
          <w:smallCaps/>
          <w:color w:val="auto"/>
          <w:sz w:val="24"/>
          <w:szCs w:val="24"/>
        </w:rPr>
        <w:instrText xml:space="preserve"> HYPERLINK \l _Toc28988 </w:instrText>
      </w:r>
      <w:r>
        <w:rPr>
          <w:rFonts w:hint="default" w:ascii="Times New Roman" w:hAnsi="Times New Roman" w:eastAsia="宋体" w:cs="Times New Roman"/>
          <w:smallCaps/>
          <w:color w:val="auto"/>
          <w:sz w:val="24"/>
          <w:szCs w:val="24"/>
        </w:rPr>
        <w:fldChar w:fldCharType="separate"/>
      </w:r>
      <w:r>
        <w:rPr>
          <w:rFonts w:hint="default" w:ascii="Times New Roman" w:hAnsi="Times New Roman" w:cs="Times New Roman"/>
          <w:bCs/>
          <w:color w:val="auto"/>
          <w:sz w:val="24"/>
          <w:szCs w:val="24"/>
          <w:lang w:val="en-US" w:eastAsia="zh-CN"/>
        </w:rPr>
        <w:t>6</w:t>
      </w:r>
      <w:r>
        <w:rPr>
          <w:rFonts w:hint="default" w:ascii="Times New Roman" w:hAnsi="Times New Roman" w:eastAsia="宋体" w:cs="Times New Roman"/>
          <w:bCs/>
          <w:color w:val="auto"/>
          <w:sz w:val="24"/>
          <w:szCs w:val="24"/>
          <w:lang w:val="en-US" w:eastAsia="zh-CN"/>
        </w:rPr>
        <w:t xml:space="preserve"> </w:t>
      </w:r>
      <w:r>
        <w:rPr>
          <w:rFonts w:hint="default" w:ascii="Times New Roman" w:hAnsi="Times New Roman" w:cs="Times New Roman"/>
          <w:bCs/>
          <w:color w:val="auto"/>
          <w:sz w:val="24"/>
          <w:szCs w:val="24"/>
          <w:lang w:val="en-US" w:eastAsia="zh-CN"/>
        </w:rPr>
        <w:t>应急保障</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_Toc28988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26</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_Toc17902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6.1经费保障</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_Toc17902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26</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_Toc21405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6.2物质及能力保障</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_Toc21405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26</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_Toc9327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6.3通信与信息保障</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_Toc9327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26</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_Toc11465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6.4人力资源保障</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_Toc11465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26</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_Toc10743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6.5监测与预警能力保障</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_Toc10743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26</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_Toc7086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6.6技术保障</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_Toc7086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27</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_Toc18164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6.7宣传保障</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_Toc18164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27</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_Toc20303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6.8医疗卫生保障</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_Toc20303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27</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_Toc13674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6.9制度保障</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_Toc13674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27</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3"/>
        <w:tabs>
          <w:tab w:val="right" w:leader="dot" w:pos="9072"/>
        </w:tabs>
        <w:rPr>
          <w:rFonts w:hint="default" w:ascii="Times New Roman" w:hAnsi="Times New Roman" w:cs="Times New Roman"/>
          <w:color w:val="auto"/>
          <w:sz w:val="24"/>
          <w:szCs w:val="24"/>
        </w:rPr>
      </w:pPr>
      <w:r>
        <w:rPr>
          <w:rFonts w:hint="default" w:ascii="Times New Roman" w:hAnsi="Times New Roman" w:eastAsia="宋体" w:cs="Times New Roman"/>
          <w:smallCaps/>
          <w:color w:val="auto"/>
          <w:sz w:val="24"/>
          <w:szCs w:val="24"/>
        </w:rPr>
        <w:fldChar w:fldCharType="begin"/>
      </w:r>
      <w:r>
        <w:rPr>
          <w:rFonts w:hint="default" w:ascii="Times New Roman" w:hAnsi="Times New Roman" w:eastAsia="宋体" w:cs="Times New Roman"/>
          <w:smallCaps/>
          <w:color w:val="auto"/>
          <w:sz w:val="24"/>
          <w:szCs w:val="24"/>
        </w:rPr>
        <w:instrText xml:space="preserve"> HYPERLINK \l _Toc27780 </w:instrText>
      </w:r>
      <w:r>
        <w:rPr>
          <w:rFonts w:hint="default" w:ascii="Times New Roman" w:hAnsi="Times New Roman" w:eastAsia="宋体" w:cs="Times New Roman"/>
          <w:smallCaps/>
          <w:color w:val="auto"/>
          <w:sz w:val="24"/>
          <w:szCs w:val="24"/>
        </w:rPr>
        <w:fldChar w:fldCharType="separate"/>
      </w:r>
      <w:r>
        <w:rPr>
          <w:rFonts w:hint="default" w:ascii="Times New Roman" w:hAnsi="Times New Roman" w:cs="Times New Roman"/>
          <w:bCs/>
          <w:color w:val="auto"/>
          <w:sz w:val="24"/>
          <w:szCs w:val="24"/>
          <w:lang w:val="en-US" w:eastAsia="zh-CN"/>
        </w:rPr>
        <w:t>7</w:t>
      </w:r>
      <w:r>
        <w:rPr>
          <w:rFonts w:hint="default" w:ascii="Times New Roman" w:hAnsi="Times New Roman" w:eastAsia="宋体" w:cs="Times New Roman"/>
          <w:bCs/>
          <w:color w:val="auto"/>
          <w:sz w:val="24"/>
          <w:szCs w:val="24"/>
          <w:lang w:val="en-US" w:eastAsia="zh-CN"/>
        </w:rPr>
        <w:t xml:space="preserve"> </w:t>
      </w:r>
      <w:r>
        <w:rPr>
          <w:rFonts w:hint="default" w:ascii="Times New Roman" w:hAnsi="Times New Roman" w:cs="Times New Roman"/>
          <w:bCs/>
          <w:color w:val="auto"/>
          <w:sz w:val="24"/>
          <w:szCs w:val="24"/>
          <w:lang w:val="en-US" w:eastAsia="zh-CN"/>
        </w:rPr>
        <w:t>附则</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_Toc27780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27</w:t>
      </w:r>
      <w:r>
        <w:rPr>
          <w:rFonts w:hint="default" w:ascii="Times New Roman" w:hAnsi="Times New Roman" w:cs="Times New Roman"/>
          <w:color w:val="auto"/>
          <w:sz w:val="24"/>
          <w:szCs w:val="24"/>
        </w:rPr>
        <w:fldChar w:fldCharType="end"/>
      </w:r>
      <w:r>
        <w:rPr>
          <w:rFonts w:hint="default" w:ascii="Times New Roman" w:hAnsi="Times New Roman" w:eastAsia="宋体" w:cs="Times New Roman"/>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_Toc5674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7.1预案管理与更新</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_Toc5674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27</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_Toc19144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7.2预案备案</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_Toc19144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28</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_Toc31978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7.3预案培训</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_Toc31978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28</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_Toc2177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7.4预案宣传</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_Toc2177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28</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_Toc2549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7.5预案解释部门</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_Toc2549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28</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_Toc14940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7.6预案实施时间</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_Toc14940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28</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_Toc26254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7.7名词解释</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_Toc26254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28</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pStyle w:val="15"/>
        <w:tabs>
          <w:tab w:val="right" w:leader="dot" w:pos="9072"/>
        </w:tabs>
        <w:rPr>
          <w:rFonts w:hint="default" w:ascii="Times New Roman" w:hAnsi="Times New Roman" w:cs="Times New Roman"/>
          <w:b w:val="0"/>
          <w:bCs/>
          <w:color w:val="auto"/>
          <w:sz w:val="24"/>
          <w:szCs w:val="24"/>
        </w:rPr>
      </w:pPr>
      <w:r>
        <w:rPr>
          <w:rFonts w:hint="default" w:ascii="Times New Roman" w:hAnsi="Times New Roman" w:eastAsia="宋体" w:cs="Times New Roman"/>
          <w:b w:val="0"/>
          <w:bCs/>
          <w:smallCaps/>
          <w:color w:val="auto"/>
          <w:sz w:val="24"/>
          <w:szCs w:val="24"/>
        </w:rPr>
        <w:fldChar w:fldCharType="begin"/>
      </w:r>
      <w:r>
        <w:rPr>
          <w:rFonts w:hint="default" w:ascii="Times New Roman" w:hAnsi="Times New Roman" w:eastAsia="宋体" w:cs="Times New Roman"/>
          <w:b w:val="0"/>
          <w:bCs/>
          <w:smallCaps/>
          <w:color w:val="auto"/>
          <w:sz w:val="24"/>
          <w:szCs w:val="24"/>
        </w:rPr>
        <w:instrText xml:space="preserve"> HYPERLINK \l _Toc22197 </w:instrText>
      </w:r>
      <w:r>
        <w:rPr>
          <w:rFonts w:hint="default" w:ascii="Times New Roman" w:hAnsi="Times New Roman" w:eastAsia="宋体" w:cs="Times New Roman"/>
          <w:b w:val="0"/>
          <w:bCs/>
          <w:smallCaps/>
          <w:color w:val="auto"/>
          <w:sz w:val="24"/>
          <w:szCs w:val="24"/>
        </w:rPr>
        <w:fldChar w:fldCharType="separate"/>
      </w:r>
      <w:r>
        <w:rPr>
          <w:rFonts w:hint="default" w:ascii="Times New Roman" w:hAnsi="Times New Roman" w:eastAsia="宋体" w:cs="Times New Roman"/>
          <w:b w:val="0"/>
          <w:bCs/>
          <w:color w:val="auto"/>
          <w:sz w:val="24"/>
          <w:szCs w:val="24"/>
          <w:lang w:val="en-US" w:eastAsia="zh-CN"/>
        </w:rPr>
        <w:t>7.8附件</w:t>
      </w:r>
      <w:r>
        <w:rPr>
          <w:rFonts w:hint="default" w:ascii="Times New Roman" w:hAnsi="Times New Roman" w:cs="Times New Roman"/>
          <w:b w:val="0"/>
          <w:bCs/>
          <w:color w:val="auto"/>
          <w:sz w:val="24"/>
          <w:szCs w:val="24"/>
        </w:rPr>
        <w:tab/>
      </w:r>
      <w:r>
        <w:rPr>
          <w:rFonts w:hint="default" w:ascii="Times New Roman" w:hAnsi="Times New Roman" w:cs="Times New Roman"/>
          <w:b w:val="0"/>
          <w:bCs/>
          <w:color w:val="auto"/>
          <w:sz w:val="24"/>
          <w:szCs w:val="24"/>
        </w:rPr>
        <w:fldChar w:fldCharType="begin"/>
      </w:r>
      <w:r>
        <w:rPr>
          <w:rFonts w:hint="default" w:ascii="Times New Roman" w:hAnsi="Times New Roman" w:cs="Times New Roman"/>
          <w:b w:val="0"/>
          <w:bCs/>
          <w:color w:val="auto"/>
          <w:sz w:val="24"/>
          <w:szCs w:val="24"/>
        </w:rPr>
        <w:instrText xml:space="preserve"> PAGEREF _Toc22197 \h </w:instrText>
      </w:r>
      <w:r>
        <w:rPr>
          <w:rFonts w:hint="default" w:ascii="Times New Roman" w:hAnsi="Times New Roman" w:cs="Times New Roman"/>
          <w:b w:val="0"/>
          <w:bCs/>
          <w:color w:val="auto"/>
          <w:sz w:val="24"/>
          <w:szCs w:val="24"/>
        </w:rPr>
        <w:fldChar w:fldCharType="separate"/>
      </w:r>
      <w:r>
        <w:rPr>
          <w:rFonts w:hint="default" w:ascii="Times New Roman" w:hAnsi="Times New Roman" w:cs="Times New Roman"/>
          <w:b w:val="0"/>
          <w:bCs/>
          <w:color w:val="auto"/>
          <w:sz w:val="24"/>
          <w:szCs w:val="24"/>
        </w:rPr>
        <w:t>29</w:t>
      </w:r>
      <w:r>
        <w:rPr>
          <w:rFonts w:hint="default" w:ascii="Times New Roman" w:hAnsi="Times New Roman" w:cs="Times New Roman"/>
          <w:b w:val="0"/>
          <w:bCs/>
          <w:color w:val="auto"/>
          <w:sz w:val="24"/>
          <w:szCs w:val="24"/>
        </w:rPr>
        <w:fldChar w:fldCharType="end"/>
      </w:r>
      <w:r>
        <w:rPr>
          <w:rFonts w:hint="default" w:ascii="Times New Roman" w:hAnsi="Times New Roman" w:eastAsia="宋体" w:cs="Times New Roman"/>
          <w:b w:val="0"/>
          <w:bCs/>
          <w:smallCaps/>
          <w:color w:val="auto"/>
          <w:sz w:val="24"/>
          <w:szCs w:val="24"/>
        </w:rPr>
        <w:fldChar w:fldCharType="end"/>
      </w:r>
    </w:p>
    <w:p>
      <w:pPr>
        <w:spacing w:line="240" w:lineRule="auto"/>
        <w:rPr>
          <w:rFonts w:hint="default" w:ascii="Times New Roman" w:hAnsi="Times New Roman" w:eastAsia="宋体" w:cs="Times New Roman"/>
          <w:smallCaps/>
          <w:color w:val="auto"/>
          <w:sz w:val="24"/>
          <w:szCs w:val="24"/>
        </w:rPr>
        <w:sectPr>
          <w:headerReference r:id="rId7" w:type="default"/>
          <w:footerReference r:id="rId8" w:type="default"/>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default" w:ascii="Times New Roman" w:hAnsi="Times New Roman" w:eastAsia="宋体" w:cs="Times New Roman"/>
          <w:smallCaps/>
          <w:color w:val="auto"/>
          <w:sz w:val="24"/>
          <w:szCs w:val="24"/>
        </w:rPr>
        <w:fldChar w:fldCharType="end"/>
      </w:r>
      <w:bookmarkStart w:id="18" w:name="_Toc275087685"/>
      <w:bookmarkStart w:id="19" w:name="_Toc240876349"/>
      <w:bookmarkStart w:id="20" w:name="_Toc240876207"/>
      <w:bookmarkStart w:id="21" w:name="_Toc273391629"/>
      <w:bookmarkStart w:id="22" w:name="_Toc273391715"/>
      <w:bookmarkStart w:id="23" w:name="_Toc240876348"/>
      <w:bookmarkStart w:id="24" w:name="_Toc240876299"/>
      <w:bookmarkStart w:id="25" w:name="_Toc273391305"/>
      <w:bookmarkStart w:id="26" w:name="_Toc240876298"/>
      <w:bookmarkStart w:id="27" w:name="_Toc240876393"/>
      <w:bookmarkStart w:id="28" w:name="_Toc240876392"/>
      <w:bookmarkStart w:id="29" w:name="_Toc266547491"/>
    </w:p>
    <w:bookmarkEnd w:id="18"/>
    <w:bookmarkEnd w:id="19"/>
    <w:bookmarkEnd w:id="20"/>
    <w:bookmarkEnd w:id="21"/>
    <w:bookmarkEnd w:id="22"/>
    <w:bookmarkEnd w:id="23"/>
    <w:bookmarkEnd w:id="24"/>
    <w:bookmarkEnd w:id="25"/>
    <w:bookmarkEnd w:id="26"/>
    <w:bookmarkEnd w:id="27"/>
    <w:bookmarkEnd w:id="28"/>
    <w:bookmarkEnd w:id="29"/>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32"/>
          <w:szCs w:val="32"/>
        </w:rPr>
      </w:pPr>
      <w:bookmarkStart w:id="30" w:name="_Toc3024"/>
      <w:bookmarkStart w:id="31" w:name="_Toc14502"/>
      <w:bookmarkStart w:id="32" w:name="_Toc31121"/>
      <w:r>
        <w:rPr>
          <w:rFonts w:hint="default" w:ascii="Times New Roman" w:hAnsi="Times New Roman" w:eastAsia="宋体" w:cs="Times New Roman"/>
          <w:b/>
          <w:bCs/>
          <w:color w:val="auto"/>
          <w:sz w:val="32"/>
          <w:szCs w:val="32"/>
        </w:rPr>
        <w:t>1</w:t>
      </w:r>
      <w:r>
        <w:rPr>
          <w:rFonts w:hint="eastAsia" w:cs="Times New Roman"/>
          <w:b/>
          <w:bCs/>
          <w:color w:val="auto"/>
          <w:sz w:val="32"/>
          <w:szCs w:val="32"/>
          <w:lang w:val="en-US" w:eastAsia="zh-CN"/>
        </w:rPr>
        <w:t xml:space="preserve"> </w:t>
      </w:r>
      <w:r>
        <w:rPr>
          <w:rFonts w:hint="default" w:ascii="Times New Roman" w:hAnsi="Times New Roman" w:eastAsia="宋体" w:cs="Times New Roman"/>
          <w:b/>
          <w:bCs/>
          <w:color w:val="auto"/>
          <w:sz w:val="32"/>
          <w:szCs w:val="32"/>
        </w:rPr>
        <w:t>总则</w:t>
      </w:r>
      <w:bookmarkEnd w:id="30"/>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33" w:name="_Toc15314"/>
      <w:r>
        <w:rPr>
          <w:rFonts w:hint="default" w:ascii="Times New Roman" w:hAnsi="Times New Roman" w:eastAsia="宋体" w:cs="Times New Roman"/>
          <w:b/>
          <w:bCs/>
          <w:color w:val="auto"/>
          <w:sz w:val="28"/>
          <w:szCs w:val="28"/>
          <w:lang w:val="en-US" w:eastAsia="zh-CN"/>
        </w:rPr>
        <w:t>1.1</w:t>
      </w:r>
      <w:r>
        <w:rPr>
          <w:rFonts w:hint="eastAsia" w:ascii="Times New Roman" w:hAnsi="Times New Roman" w:eastAsia="宋体" w:cs="Times New Roman"/>
          <w:b/>
          <w:bCs/>
          <w:color w:val="auto"/>
          <w:sz w:val="28"/>
          <w:szCs w:val="28"/>
          <w:lang w:val="en-US" w:eastAsia="zh-CN"/>
        </w:rPr>
        <w:t xml:space="preserve"> </w:t>
      </w:r>
      <w:r>
        <w:rPr>
          <w:rFonts w:hint="default" w:ascii="Times New Roman" w:hAnsi="Times New Roman" w:eastAsia="宋体" w:cs="Times New Roman"/>
          <w:b/>
          <w:bCs/>
          <w:color w:val="auto"/>
          <w:sz w:val="28"/>
          <w:szCs w:val="28"/>
          <w:lang w:val="en-US" w:eastAsia="zh-CN"/>
        </w:rPr>
        <w:t>编制目的</w:t>
      </w:r>
      <w:bookmarkEnd w:id="33"/>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为全面贯彻习近平总书记生态文明思想，认真落实省委、省政府对《深入打好重污染天气消除、臭氧污染防治和柴油货车污染治理攻坚战行动方案》的部署，进一步优化重污染天气预警和应急响应启动标准，为了</w:t>
      </w:r>
      <w:r>
        <w:rPr>
          <w:rFonts w:hint="default"/>
          <w:color w:val="auto"/>
          <w:sz w:val="24"/>
          <w:szCs w:val="24"/>
          <w:lang w:val="en-US" w:eastAsia="zh-CN"/>
        </w:rPr>
        <w:t>建立</w:t>
      </w:r>
      <w:r>
        <w:rPr>
          <w:rFonts w:hint="eastAsia"/>
          <w:color w:val="auto"/>
          <w:sz w:val="24"/>
          <w:szCs w:val="24"/>
          <w:lang w:val="en-US" w:eastAsia="zh-CN"/>
        </w:rPr>
        <w:t>健全抚松县</w:t>
      </w:r>
      <w:r>
        <w:rPr>
          <w:rFonts w:hint="default"/>
          <w:color w:val="auto"/>
          <w:sz w:val="24"/>
          <w:szCs w:val="24"/>
          <w:lang w:val="en-US" w:eastAsia="zh-CN"/>
        </w:rPr>
        <w:t>重污染天气应急响应机制，</w:t>
      </w:r>
      <w:r>
        <w:rPr>
          <w:rFonts w:hint="eastAsia"/>
          <w:color w:val="auto"/>
          <w:sz w:val="24"/>
          <w:szCs w:val="24"/>
          <w:lang w:val="en-US" w:eastAsia="zh-CN"/>
        </w:rPr>
        <w:t>统筹全抚松县重污染天气应急响应工作，</w:t>
      </w:r>
      <w:r>
        <w:rPr>
          <w:rFonts w:hint="default"/>
          <w:color w:val="auto"/>
          <w:sz w:val="24"/>
          <w:szCs w:val="24"/>
          <w:lang w:val="en-US" w:eastAsia="zh-CN"/>
        </w:rPr>
        <w:t>提高预防、预警、应对能力，</w:t>
      </w:r>
      <w:r>
        <w:rPr>
          <w:rFonts w:hint="eastAsia"/>
          <w:color w:val="auto"/>
          <w:sz w:val="24"/>
          <w:szCs w:val="24"/>
          <w:lang w:val="en-US" w:eastAsia="zh-CN"/>
        </w:rPr>
        <w:t>及时</w:t>
      </w:r>
      <w:r>
        <w:rPr>
          <w:rFonts w:hint="default"/>
          <w:color w:val="auto"/>
          <w:sz w:val="24"/>
          <w:szCs w:val="24"/>
          <w:lang w:val="en-US" w:eastAsia="zh-CN"/>
        </w:rPr>
        <w:t>有效预防和应对重污染天气，最大限度降低重污染天气危害程度，保障人民群众身心健康</w:t>
      </w:r>
      <w:r>
        <w:rPr>
          <w:rFonts w:hint="eastAsia"/>
          <w:color w:val="auto"/>
          <w:sz w:val="24"/>
          <w:szCs w:val="24"/>
          <w:lang w:val="en-US" w:eastAsia="zh-CN"/>
        </w:rPr>
        <w:t>。根据国家及吉林省有关规定和要求，结合本县实际情况，制定本预案</w:t>
      </w:r>
      <w:r>
        <w:rPr>
          <w:rFonts w:hint="default"/>
          <w:color w:val="auto"/>
          <w:sz w:val="24"/>
          <w:szCs w:val="24"/>
          <w:lang w:val="en-US" w:eastAsia="zh-CN"/>
        </w:rPr>
        <w:t>。</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34" w:name="_Toc13152"/>
      <w:r>
        <w:rPr>
          <w:rFonts w:hint="eastAsia" w:ascii="Times New Roman" w:hAnsi="Times New Roman" w:eastAsia="宋体" w:cs="Times New Roman"/>
          <w:b/>
          <w:bCs/>
          <w:color w:val="auto"/>
          <w:sz w:val="28"/>
          <w:szCs w:val="28"/>
          <w:lang w:val="en-US" w:eastAsia="zh-CN"/>
        </w:rPr>
        <w:t>1.2 编制依据</w:t>
      </w:r>
      <w:bookmarkEnd w:id="34"/>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（1）《中华人民共和国大气污染防治法》</w:t>
      </w:r>
      <w:r>
        <w:rPr>
          <w:rFonts w:hint="default"/>
          <w:color w:val="auto"/>
          <w:sz w:val="24"/>
          <w:szCs w:val="24"/>
          <w:lang w:val="en-US" w:eastAsia="zh-CN"/>
        </w:rPr>
        <w:t>（20</w:t>
      </w:r>
      <w:r>
        <w:rPr>
          <w:rFonts w:hint="eastAsia"/>
          <w:color w:val="auto"/>
          <w:sz w:val="24"/>
          <w:szCs w:val="24"/>
          <w:lang w:val="en-US" w:eastAsia="zh-CN"/>
        </w:rPr>
        <w:t>18.10.26</w:t>
      </w:r>
      <w:r>
        <w:rPr>
          <w:rFonts w:hint="default"/>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（2）《中华人民共和国突发事件应对法》</w:t>
      </w:r>
      <w:r>
        <w:rPr>
          <w:rFonts w:hint="default"/>
          <w:color w:val="auto"/>
          <w:sz w:val="24"/>
          <w:szCs w:val="24"/>
          <w:lang w:val="en-US" w:eastAsia="zh-CN"/>
        </w:rPr>
        <w:t>（2007.11.1）</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（3）《大气污染防治行动计划》（国发[2013]37号）；</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（4）《环境空气质量标准》（GB3095-2012）；</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（5）《突发事件应急预案</w:t>
      </w:r>
      <w:r>
        <w:rPr>
          <w:rFonts w:hint="default"/>
          <w:color w:val="auto"/>
          <w:sz w:val="24"/>
          <w:szCs w:val="24"/>
          <w:lang w:val="en-US" w:eastAsia="zh-CN"/>
        </w:rPr>
        <w:t>管理办法》（国办发[2013]101号）</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（6）《国务院办公厅转发环境保护部等部门关于推进大气污染联防联控工作改善区域空气质量的指导意见的通知》（国办发[2010]33号）；</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（7）《关于进一步做好重污染天气条件下空气质量监测预警工作的通知》（环办[2013]2号）；</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（8）《关于印发《城市大气重污染应急预案编制指南》的函》（环办[2013]504号）；</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（9）《环境空气质量指数（AQI）技术规定（试行）》（HJ633-2012）；</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（10）《吉林省大气污染防治条例》；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（11）《吉林省突发公共事件总体应急预案》；</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（12）《吉林省突发环境事件应急预案》；</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（13）《吉林省突发环境事件应急预案》（吉政办函[2016]241号）；</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（14）《吉林省人民政府办公厅关于加强应急管控措施减缓重污染天气影响的指导意见》（吉政办发[2016]32号）；</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（15）《吉林省重污染天气应急预案》；</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（16）《白山市重污染天气应急预案》；</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（17）《抚松县重污染天气应急预案（2020年修订版）》。</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35" w:name="_Toc18921"/>
      <w:r>
        <w:rPr>
          <w:rFonts w:hint="eastAsia" w:ascii="Times New Roman" w:hAnsi="Times New Roman" w:eastAsia="宋体" w:cs="Times New Roman"/>
          <w:b/>
          <w:bCs/>
          <w:color w:val="auto"/>
          <w:sz w:val="28"/>
          <w:szCs w:val="28"/>
          <w:lang w:val="en-US" w:eastAsia="zh-CN"/>
        </w:rPr>
        <w:t>1.3 适用范围</w:t>
      </w:r>
      <w:bookmarkEnd w:id="35"/>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本预案适用于发生在抚松县辖区范围内，需要县人民政府负责组织、协调、处置的重污染天气应对工作。</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本预案所指的重污染天气，是指预测日AQI＞200或日AQI＞150持续48小时及以上污染程度的大气污染。</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因沙尘造成的重污染天气，参照沙尘天气相关要求执行，不纳入本应急预案范畴。</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36" w:name="_Toc4837"/>
      <w:r>
        <w:rPr>
          <w:rFonts w:hint="eastAsia" w:ascii="Times New Roman" w:hAnsi="Times New Roman" w:eastAsia="宋体" w:cs="Times New Roman"/>
          <w:b/>
          <w:bCs/>
          <w:color w:val="auto"/>
          <w:sz w:val="28"/>
          <w:szCs w:val="28"/>
          <w:lang w:val="en-US" w:eastAsia="zh-CN"/>
        </w:rPr>
        <w:t>1.4 预案体系</w:t>
      </w:r>
      <w:bookmarkEnd w:id="36"/>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eastAsia="宋体"/>
          <w:color w:val="auto"/>
          <w:sz w:val="24"/>
          <w:szCs w:val="24"/>
          <w:lang w:val="en-US" w:eastAsia="zh-CN"/>
        </w:rPr>
      </w:pPr>
      <w:r>
        <w:rPr>
          <w:rFonts w:hint="eastAsia" w:eastAsia="宋体"/>
          <w:color w:val="auto"/>
          <w:sz w:val="24"/>
          <w:szCs w:val="24"/>
          <w:lang w:val="en-US" w:eastAsia="zh-CN"/>
        </w:rPr>
        <w:t>本预案是吉林省重污染天气应急预案的下级预案，</w:t>
      </w:r>
      <w:r>
        <w:rPr>
          <w:rFonts w:hint="eastAsia"/>
          <w:color w:val="auto"/>
          <w:sz w:val="24"/>
          <w:szCs w:val="24"/>
          <w:lang w:val="en-US" w:eastAsia="zh-CN"/>
        </w:rPr>
        <w:t>主要包括</w:t>
      </w:r>
      <w:r>
        <w:rPr>
          <w:rFonts w:hint="eastAsia" w:eastAsia="宋体"/>
          <w:color w:val="auto"/>
          <w:sz w:val="24"/>
          <w:szCs w:val="24"/>
          <w:lang w:val="en-US" w:eastAsia="zh-CN"/>
        </w:rPr>
        <w:t>抚松县重污染天气应对工作，本预案下级预案还包括</w:t>
      </w:r>
      <w:r>
        <w:rPr>
          <w:rFonts w:hint="eastAsia"/>
          <w:color w:val="auto"/>
          <w:sz w:val="24"/>
          <w:szCs w:val="24"/>
          <w:lang w:val="en-US" w:eastAsia="zh-CN"/>
        </w:rPr>
        <w:t>下辖各乡镇重污染天气应急预案，辖区内各企事业单位重污染天气应急预案，重大活动重污染天气应急预案，应急减排清单、秋冬季工业企业错峰生产实施方案和相关企业单位操作方向等。本预案与其下级预案共同组成抚松县重污染天气应急预案体系。</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eastAsia="宋体"/>
          <w:color w:val="auto"/>
          <w:sz w:val="24"/>
          <w:szCs w:val="24"/>
          <w:lang w:val="en-US" w:eastAsia="zh-CN"/>
        </w:rPr>
      </w:pPr>
      <w:r>
        <w:rPr>
          <w:rFonts w:hint="eastAsia" w:eastAsia="宋体"/>
          <w:color w:val="auto"/>
          <w:sz w:val="24"/>
          <w:szCs w:val="24"/>
          <w:lang w:val="en-US" w:eastAsia="zh-CN"/>
        </w:rPr>
        <w:t>本预案为县人民政府组织、指挥、协调重污染天气应对工作的程序规范，是指导全县各乡镇、各有关部门和企事业单位做好重污染天气预防和应对工作的依据。</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eastAsia="宋体"/>
          <w:color w:val="auto"/>
          <w:sz w:val="24"/>
          <w:szCs w:val="24"/>
          <w:lang w:val="en-US" w:eastAsia="zh-CN"/>
        </w:rPr>
        <w:t>各乡镇、各有关部门要依据本预案规定的原则和要求，结合实际情况，制定切实可行的管控措施；排放大气污染物的企事业单位也应依据本预案修订本单位应对重污染天气的操作方案。</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37" w:name="_Toc17822"/>
      <w:r>
        <w:rPr>
          <w:rFonts w:hint="eastAsia" w:ascii="Times New Roman" w:hAnsi="Times New Roman" w:eastAsia="宋体" w:cs="Times New Roman"/>
          <w:b/>
          <w:bCs/>
          <w:color w:val="auto"/>
          <w:sz w:val="28"/>
          <w:szCs w:val="28"/>
          <w:lang w:val="en-US" w:eastAsia="zh-CN"/>
        </w:rPr>
        <w:t>1.5 工作原则</w:t>
      </w:r>
      <w:bookmarkEnd w:id="37"/>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rPr>
        <w:t>重污染天气应对工作坚持</w:t>
      </w:r>
      <w:r>
        <w:rPr>
          <w:rFonts w:hint="eastAsia"/>
          <w:color w:val="auto"/>
          <w:sz w:val="24"/>
          <w:szCs w:val="24"/>
          <w:lang w:val="en-US" w:eastAsia="zh-CN"/>
        </w:rPr>
        <w:t>以下工作原则：</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rPr>
        <w:t>以人为本</w:t>
      </w:r>
      <w:r>
        <w:rPr>
          <w:rFonts w:hint="eastAsia"/>
          <w:color w:val="auto"/>
          <w:sz w:val="24"/>
          <w:szCs w:val="24"/>
          <w:lang w:eastAsia="zh-CN"/>
        </w:rPr>
        <w:t>、</w:t>
      </w:r>
      <w:r>
        <w:rPr>
          <w:rFonts w:hint="eastAsia"/>
          <w:color w:val="auto"/>
          <w:sz w:val="24"/>
          <w:szCs w:val="24"/>
          <w:lang w:val="en-US" w:eastAsia="zh-CN"/>
        </w:rPr>
        <w:t>预防为主</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以保障公众身体健康作为重污染天气应对工作的出发点。加强日常监测与管理，做到提前预警，加强自我防范和保护，强化大气污染防治措施，切实预防重污染天气对人民群众人体健康的影响。</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eastAsia="宋体"/>
          <w:color w:val="auto"/>
          <w:sz w:val="24"/>
          <w:szCs w:val="24"/>
          <w:lang w:val="en-US" w:eastAsia="zh-CN"/>
        </w:rPr>
      </w:pPr>
      <w:r>
        <w:rPr>
          <w:rFonts w:hint="eastAsia"/>
          <w:color w:val="auto"/>
          <w:sz w:val="24"/>
          <w:szCs w:val="24"/>
          <w:lang w:val="en-US" w:eastAsia="zh-CN"/>
        </w:rPr>
        <w:t>（2）</w:t>
      </w:r>
      <w:r>
        <w:rPr>
          <w:rFonts w:hint="eastAsia"/>
          <w:color w:val="auto"/>
          <w:sz w:val="24"/>
          <w:szCs w:val="24"/>
        </w:rPr>
        <w:t>属地管理</w:t>
      </w:r>
      <w:r>
        <w:rPr>
          <w:rFonts w:hint="eastAsia"/>
          <w:color w:val="auto"/>
          <w:sz w:val="24"/>
          <w:szCs w:val="24"/>
          <w:lang w:eastAsia="zh-CN"/>
        </w:rPr>
        <w:t>、</w:t>
      </w:r>
      <w:r>
        <w:rPr>
          <w:rFonts w:hint="eastAsia"/>
          <w:color w:val="auto"/>
          <w:sz w:val="24"/>
          <w:szCs w:val="24"/>
          <w:lang w:val="en-US" w:eastAsia="zh-CN"/>
        </w:rPr>
        <w:t>统一领导</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重污染天气的应对有当地政府负总责，组织、指挥本地区下属各辖区内重污染天气应对工作。</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4</w:t>
      </w:r>
      <w:r>
        <w:rPr>
          <w:rFonts w:hint="eastAsia"/>
          <w:color w:val="auto"/>
          <w:sz w:val="24"/>
          <w:szCs w:val="24"/>
          <w:lang w:eastAsia="zh-CN"/>
        </w:rPr>
        <w:t>）</w:t>
      </w:r>
      <w:r>
        <w:rPr>
          <w:rFonts w:hint="eastAsia"/>
          <w:color w:val="auto"/>
          <w:sz w:val="24"/>
          <w:szCs w:val="24"/>
        </w:rPr>
        <w:t>科学预警</w:t>
      </w:r>
      <w:r>
        <w:rPr>
          <w:rFonts w:hint="eastAsia"/>
          <w:color w:val="auto"/>
          <w:sz w:val="24"/>
          <w:szCs w:val="24"/>
          <w:lang w:eastAsia="zh-CN"/>
        </w:rPr>
        <w:t>、</w:t>
      </w:r>
      <w:r>
        <w:rPr>
          <w:rFonts w:hint="eastAsia"/>
          <w:color w:val="auto"/>
          <w:sz w:val="24"/>
          <w:szCs w:val="24"/>
          <w:lang w:val="en-US" w:eastAsia="zh-CN"/>
        </w:rPr>
        <w:t>提前响应</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建立健全重污染天气的监测、预警、响应体系，充分利用气象大数据分析研判，做好空气质量和气象监测，对重污染天气科学预警并及时有效响应。</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5</w:t>
      </w:r>
      <w:r>
        <w:rPr>
          <w:rFonts w:hint="eastAsia"/>
          <w:color w:val="auto"/>
          <w:sz w:val="24"/>
          <w:szCs w:val="24"/>
          <w:lang w:eastAsia="zh-CN"/>
        </w:rPr>
        <w:t>）</w:t>
      </w:r>
      <w:r>
        <w:rPr>
          <w:rFonts w:hint="eastAsia"/>
          <w:color w:val="auto"/>
          <w:sz w:val="24"/>
          <w:szCs w:val="24"/>
          <w:lang w:val="en-US" w:eastAsia="zh-CN"/>
        </w:rPr>
        <w:t>明确责任、强化落实</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县</w:t>
      </w:r>
      <w:r>
        <w:rPr>
          <w:rFonts w:hint="eastAsia"/>
          <w:color w:val="auto"/>
          <w:sz w:val="24"/>
          <w:szCs w:val="24"/>
        </w:rPr>
        <w:t>级重污染天气应对工作由</w:t>
      </w:r>
      <w:r>
        <w:rPr>
          <w:rFonts w:hint="eastAsia"/>
          <w:color w:val="auto"/>
          <w:sz w:val="24"/>
          <w:szCs w:val="24"/>
          <w:lang w:val="en-US" w:eastAsia="zh-CN"/>
        </w:rPr>
        <w:t>抚松县</w:t>
      </w:r>
      <w:r>
        <w:rPr>
          <w:rFonts w:hint="eastAsia"/>
          <w:color w:val="auto"/>
          <w:sz w:val="24"/>
          <w:szCs w:val="24"/>
        </w:rPr>
        <w:t>重污染天气应急指挥部统筹领导指挥，各</w:t>
      </w:r>
      <w:r>
        <w:rPr>
          <w:rFonts w:hint="eastAsia"/>
          <w:color w:val="auto"/>
          <w:sz w:val="24"/>
          <w:szCs w:val="24"/>
          <w:lang w:val="en-US" w:eastAsia="zh-CN"/>
        </w:rPr>
        <w:t>辖区</w:t>
      </w:r>
      <w:r>
        <w:rPr>
          <w:rFonts w:hint="eastAsia"/>
          <w:color w:val="auto"/>
          <w:sz w:val="24"/>
          <w:szCs w:val="24"/>
        </w:rPr>
        <w:t>政府负责对本辖区内的重污染天气应急工作实施统一指挥，相关部门各司其职、密切</w:t>
      </w:r>
      <w:r>
        <w:rPr>
          <w:rFonts w:hint="eastAsia"/>
          <w:color w:val="auto"/>
          <w:sz w:val="24"/>
          <w:szCs w:val="24"/>
          <w:lang w:val="en-US" w:eastAsia="zh-CN"/>
        </w:rPr>
        <w:t>配合。</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val="en-US" w:eastAsia="zh-CN"/>
        </w:rPr>
        <w:t>全县按照污染区域，统筹实施预警和相应。</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6</w:t>
      </w:r>
      <w:r>
        <w:rPr>
          <w:rFonts w:hint="eastAsia"/>
          <w:color w:val="auto"/>
          <w:sz w:val="24"/>
          <w:szCs w:val="24"/>
          <w:lang w:eastAsia="zh-CN"/>
        </w:rPr>
        <w:t>）</w:t>
      </w:r>
      <w:r>
        <w:rPr>
          <w:rFonts w:hint="eastAsia"/>
          <w:color w:val="auto"/>
          <w:sz w:val="24"/>
          <w:szCs w:val="24"/>
        </w:rPr>
        <w:t>部门联动</w:t>
      </w:r>
      <w:r>
        <w:rPr>
          <w:rFonts w:hint="eastAsia"/>
          <w:color w:val="auto"/>
          <w:sz w:val="24"/>
          <w:szCs w:val="24"/>
          <w:lang w:eastAsia="zh-CN"/>
        </w:rPr>
        <w:t>、</w:t>
      </w:r>
      <w:r>
        <w:rPr>
          <w:rFonts w:hint="eastAsia"/>
          <w:color w:val="auto"/>
          <w:sz w:val="24"/>
          <w:szCs w:val="24"/>
        </w:rPr>
        <w:t>社会参与</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各部门各负其责，全员参与，统一相应。加强各有关部门协调联动，明确职责分工，综合采用法律和行政手段协同做好重污染天气应对工作。</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加强信息公开，通过各类权威媒体，及时准确发布空气环境监测相关信息，确保人民群众知情权。广泛动员社会各界积极参与重污染天气应对和防护工作。</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32"/>
          <w:szCs w:val="32"/>
          <w:lang w:val="en-US" w:eastAsia="zh-CN"/>
        </w:rPr>
      </w:pPr>
      <w:bookmarkStart w:id="38" w:name="_Toc10779"/>
      <w:r>
        <w:rPr>
          <w:rFonts w:hint="eastAsia" w:ascii="Times New Roman" w:hAnsi="Times New Roman" w:eastAsia="宋体" w:cs="Times New Roman"/>
          <w:b/>
          <w:bCs/>
          <w:color w:val="auto"/>
          <w:sz w:val="32"/>
          <w:szCs w:val="32"/>
          <w:lang w:val="en-US" w:eastAsia="zh-CN"/>
        </w:rPr>
        <w:t>2 组织机构和职责</w:t>
      </w:r>
      <w:bookmarkEnd w:id="38"/>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根据重污染天气应对工作需要和县政府决策部署，设立抚松县重污染天气应急指挥部（以下简称应急指挥部），负责全县重污染天气应对工作的统筹指挥和决策部署，对县域内各辖区重污染天气应对工作进行督导、协调。按照大气污染程度，统筹实施预警和相应，同时与国家预警和响应实施区域联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白山市生态环境局抚松县分局负责全县重污染天气应急管理的日常工作。</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39" w:name="_Toc21918"/>
      <w:r>
        <w:rPr>
          <w:rFonts w:hint="eastAsia" w:ascii="Times New Roman" w:hAnsi="Times New Roman" w:eastAsia="宋体" w:cs="Times New Roman"/>
          <w:b/>
          <w:bCs/>
          <w:color w:val="auto"/>
          <w:sz w:val="28"/>
          <w:szCs w:val="28"/>
          <w:lang w:val="en-US" w:eastAsia="zh-CN"/>
        </w:rPr>
        <w:t>2.1 应急指挥部</w:t>
      </w:r>
      <w:bookmarkEnd w:id="39"/>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为保证本应急预案的妥善实施，抚松县人民政府成立抚松县重污染天气应急指挥部，具体组成情况如下。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总指挥：县长</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副总指挥：相关副县长和有关领导。</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指挥部成员：县委组织部、县委宣传部、县应急管理局、县财政局、县发改委、县气象局、白山市生态环境局抚松县分局、县住房和城乡建设局、县综合执法局、县工业和信息化局、县公安局、县教育局、县交通运输局、县自然资源局、县卫生健康局、县商务局及各乡镇政府部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县应急指挥部职责：贯彻落实党中央、国务院和省委、省政府关于重污染天气应对工作的重要指示、决定；组织、指挥、协调全省重污染天气应对工作；对在重污染天气应对工作中作出突出贡献相关工作人员提出表彰奖励建议；研究决定应对工作中的其他重大问题。</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40" w:name="_Toc6994"/>
      <w:r>
        <w:rPr>
          <w:rFonts w:hint="eastAsia" w:ascii="Times New Roman" w:hAnsi="Times New Roman" w:eastAsia="宋体" w:cs="Times New Roman"/>
          <w:b/>
          <w:bCs/>
          <w:color w:val="auto"/>
          <w:sz w:val="28"/>
          <w:szCs w:val="28"/>
          <w:lang w:val="en-US" w:eastAsia="zh-CN"/>
        </w:rPr>
        <w:t>2.2 工作机构</w:t>
      </w:r>
      <w:bookmarkEnd w:id="40"/>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指挥部下设办公室和监测预警、专家、督导检查、后勤保障、宣传培训五个工作组。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1、办公室</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办公室设在白山市生态环境局抚松县分局，主要负责罐车指挥部的部署，对重污染天气预警、响应级别进行研判，组织协调各成员单位落实应急响应措施，及时发布和上报相关信息。</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 xml:space="preserve">县应急指挥部办公室职责：组织修订《抚松县重污染天气应急预案》；负责进行重污染天气研判、会商，督导落实应急响应措施；开展新闻宣传和舆情引导，完善后勤保障能力；评估重污染天气应急预案实施效果；指导各成员单位重污染天气应对工作；承担县应急指挥部交办的其他工作。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2、监测预警组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监测预警组由县气象局、白山市生态环境局抚松县分局及其他地区政府部门共同组成，负责制定重污染天气监测、预测工作方案，实施环境空气质量监测、气象监测，预测大气污染变化趋势，根据环境监测和气象数据，预测大气污染变化趋势，为预警、响应提供决策依据。</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3、专家组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专家组由环保、气象等领域相关专家组成，负责参与重污染天气监测、预报、预警、响应、总结及评估，针对重污染天气应对涉及的技术问题提出对策和建议，为重污染天气应急响应提供科学依据。</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4、督导检查组</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督导检查组由白山市生态环境局抚松县分局、县公安局、县住房和城乡建设局、县综合执法局共同组成，负责检查、督查各成员单位重污染天气应急准备、监测、预警、响应等职责落实情况进行监督考核，及时反馈有关情况，对督导检查出的问题提出问责处理意见。</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5、后勤保障组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后勤保障组由白山市生态环境局抚松县分局、县财政局组成，负责重污染天气应对所需的人力资源、资金和物资装备的保障。</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6、宣传培训组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宣传培训组由县委宣传部牵头，白山市生态环境局抚松县分局和抚松县下辖地方人民政府参加，负责组织有关单位及媒体开展重污染天气预警信息和应急响应措施的宣传，及时通过电视、广播、报纸、网络、手机等渠道发布预警信息，方便公众及时了解重污染天气情况及相关应急措施，密切关注舆论，引领公众支持参与改善空气质量的行动。加强预警、响应演练。</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41" w:name="_Toc14316"/>
      <w:r>
        <w:rPr>
          <w:rFonts w:hint="eastAsia" w:ascii="Times New Roman" w:hAnsi="Times New Roman" w:eastAsia="宋体" w:cs="Times New Roman"/>
          <w:b/>
          <w:bCs/>
          <w:color w:val="auto"/>
          <w:sz w:val="28"/>
          <w:szCs w:val="28"/>
          <w:lang w:val="en-US" w:eastAsia="zh-CN"/>
        </w:rPr>
        <w:t>2.3 现场指挥机构</w:t>
      </w:r>
      <w:bookmarkEnd w:id="41"/>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 xml:space="preserve">城市发生橙色、红色预警后，负责重污染天气应急处置的抚松县人民政府视情况成立现场指挥部，负责现场组织指挥工作。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 xml:space="preserve">参与现场处置的有关单位和人员要服从现场指挥部的统一指挥。 </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42" w:name="_Toc1459"/>
      <w:r>
        <w:rPr>
          <w:rFonts w:hint="eastAsia" w:ascii="Times New Roman" w:hAnsi="Times New Roman" w:eastAsia="宋体" w:cs="Times New Roman"/>
          <w:b/>
          <w:bCs/>
          <w:color w:val="auto"/>
          <w:sz w:val="28"/>
          <w:szCs w:val="28"/>
          <w:lang w:val="en-US" w:eastAsia="zh-CN"/>
        </w:rPr>
        <w:t>2.4成员单位职责</w:t>
      </w:r>
      <w:bookmarkEnd w:id="42"/>
    </w:p>
    <w:p>
      <w:pPr>
        <w:pStyle w:val="4"/>
        <w:spacing w:before="0" w:after="0" w:line="360" w:lineRule="auto"/>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2.</w:t>
      </w:r>
      <w:r>
        <w:rPr>
          <w:rFonts w:hint="eastAsia" w:ascii="Times New Roman" w:hAnsi="Times New Roman" w:cs="Times New Roman"/>
          <w:b/>
          <w:bCs/>
          <w:color w:val="auto"/>
          <w:sz w:val="24"/>
          <w:szCs w:val="24"/>
          <w:u w:val="single"/>
          <w:lang w:val="en-US" w:eastAsia="zh-CN"/>
        </w:rPr>
        <w:t>4</w:t>
      </w:r>
      <w:r>
        <w:rPr>
          <w:rFonts w:hint="eastAsia" w:ascii="Times New Roman" w:hAnsi="Times New Roman" w:eastAsia="宋体" w:cs="Times New Roman"/>
          <w:b/>
          <w:bCs/>
          <w:color w:val="auto"/>
          <w:sz w:val="24"/>
          <w:szCs w:val="24"/>
          <w:u w:val="single"/>
          <w:lang w:val="en-US" w:eastAsia="zh-CN"/>
        </w:rPr>
        <w:t>.1 各</w:t>
      </w:r>
      <w:r>
        <w:rPr>
          <w:rFonts w:hint="eastAsia" w:ascii="Times New Roman" w:hAnsi="Times New Roman" w:cs="Times New Roman"/>
          <w:b/>
          <w:bCs/>
          <w:color w:val="auto"/>
          <w:sz w:val="24"/>
          <w:szCs w:val="24"/>
          <w:u w:val="single"/>
          <w:lang w:val="en-US" w:eastAsia="zh-CN"/>
        </w:rPr>
        <w:t>乡、</w:t>
      </w:r>
      <w:r>
        <w:rPr>
          <w:rFonts w:hint="eastAsia" w:ascii="Times New Roman" w:hAnsi="Times New Roman" w:eastAsia="宋体" w:cs="Times New Roman"/>
          <w:b/>
          <w:bCs/>
          <w:color w:val="auto"/>
          <w:sz w:val="24"/>
          <w:szCs w:val="24"/>
          <w:u w:val="single"/>
          <w:lang w:val="en-US" w:eastAsia="zh-CN"/>
        </w:rPr>
        <w:t>镇政府</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按照属地管理的原则，各乡镇政府负责当地重污染天气应急工作。按要求编制本地重污染天气应急预案，并向抚松县重污染天气应急指挥部办公室备案。</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各乡镇政府必须与县政府签订大气污染防治的目标责任书，按照县应急预案相关要求，执行相应的应急相应措施。</w:t>
      </w:r>
    </w:p>
    <w:p>
      <w:pPr>
        <w:pStyle w:val="4"/>
        <w:spacing w:before="0" w:after="0" w:line="360" w:lineRule="auto"/>
        <w:rPr>
          <w:rFonts w:hint="default"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2.</w:t>
      </w:r>
      <w:r>
        <w:rPr>
          <w:rFonts w:hint="eastAsia" w:ascii="Times New Roman" w:hAnsi="Times New Roman" w:cs="Times New Roman"/>
          <w:b/>
          <w:bCs/>
          <w:color w:val="auto"/>
          <w:sz w:val="24"/>
          <w:szCs w:val="24"/>
          <w:u w:val="single"/>
          <w:lang w:val="en-US" w:eastAsia="zh-CN"/>
        </w:rPr>
        <w:t>4</w:t>
      </w:r>
      <w:r>
        <w:rPr>
          <w:rFonts w:hint="eastAsia" w:ascii="Times New Roman" w:hAnsi="Times New Roman" w:eastAsia="宋体" w:cs="Times New Roman"/>
          <w:b/>
          <w:bCs/>
          <w:color w:val="auto"/>
          <w:sz w:val="24"/>
          <w:szCs w:val="24"/>
          <w:u w:val="single"/>
          <w:lang w:val="en-US" w:eastAsia="zh-CN"/>
        </w:rPr>
        <w:t>.2</w:t>
      </w:r>
      <w:r>
        <w:rPr>
          <w:rFonts w:hint="eastAsia" w:ascii="Times New Roman" w:hAnsi="Times New Roman" w:cs="Times New Roman"/>
          <w:b/>
          <w:bCs/>
          <w:color w:val="auto"/>
          <w:sz w:val="24"/>
          <w:szCs w:val="24"/>
          <w:u w:val="single"/>
          <w:lang w:val="en-US" w:eastAsia="zh-CN"/>
        </w:rPr>
        <w:t xml:space="preserve"> 各</w:t>
      </w:r>
      <w:r>
        <w:rPr>
          <w:rFonts w:hint="eastAsia" w:ascii="Times New Roman" w:hAnsi="Times New Roman" w:eastAsia="宋体" w:cs="Times New Roman"/>
          <w:b/>
          <w:bCs/>
          <w:color w:val="auto"/>
          <w:sz w:val="24"/>
          <w:szCs w:val="24"/>
          <w:u w:val="single"/>
          <w:lang w:val="en-US" w:eastAsia="zh-CN"/>
        </w:rPr>
        <w:t>县直部门</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（1）县应急管理局负责协调指导重污染天气相关生产安全事故应急处置工作。</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2）白山市生态环境局抚松县分局负责本县空气质量日常监测和应急监测，与县气象局对重污染天气状况进行会商，提供预测预警信息。根据不同预警等级增加环境执法检查频次，监督重点大气污染排放企业污染防治设施正常运转和达标排放，督导秸秆禁烧。配合县工业和信息化局等部门监督大气污染物排放工业企业停产限产措施的落实；负责接受各级重污染天气预警信息，汇总整理应急措施落实情况，向县应急指挥部领导汇报，县应急指挥部收到县应急管理局上报的情况后，经过综合研判，发布各级重污染天气预警信息，通知各部门启动预案。</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3）县气象局负责及时向公众发布气象预报和城市环境气象警报，并根据天气变化情况及时补充或修正；向指挥部及相关部门提供气象监测预报信息；与白山市生态环境局抚松县分局共同开展空气质量预测、预报和会商工作，联合提供预测预警信息。具备人工增雨（雪）的气象条件时，实施人工增雨（雪）作业。</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（4）县委组织部负责将重污染天气应对工作情况作为领导班子和领导干部综合考核评价的重要依据。</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（5）县委宣传部负责指导预警、响应等信息的发布，正确引导舆论。</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（6）县发展和改革局负责推进产业结构、能源结构的调整优化，发展生物质产业。按照限产停产企业名单，在不同预警等级时督导电力（包括热电）企业落实相应停产、限产措施。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7）县工业和信息化局负责组织制定非电力行业大气污染物排放重点工业企业限产、停产专项方案，并督促落实；督导非电力行业大气污染物排放重点企业编制重污染天气应急预案，并对预案执行情况进行监督、检查；督促响应地区加快淘汰落后产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（8）县教育局负责组织制定中小学、幼儿园停止户外活动和停课专项方案，并督促落实。</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（9）县公安局负责落实禁放烟花爆竹的措施，保障预警应急期间的社会稳定；组织制定机动车限行专项方案，并督促落实；督导停办户外大型活动。</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（10）县财政局负责重污染天气应急工作及模拟演练与效果实测的经费保障及应急资金保障。</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11）县住房和城乡建设局负责组织制定建筑扬尘污染控制专项方案，按照防控单位名单，采取不同预警等级时的建筑施工单位扬尘污染控制措施，指导检查建筑工地围挡、冲洗、硬化、覆盖、喷淋、绿化及临时停工情况。</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（12）县交通运输局负责组织制定重污染天气交通保障专项方案，并督促落实。</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（13）县卫生健康局负责开展大气污染防病知识宣传，督促医疗卫生相关机构落实卫生防护、医疗救治措施，组织开展防止大气污染对人体健康产生不良影响的防病知识宣传。</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14）县综合执法局负责在不同预警等级时提高道路清扫、洒水频次，指导检查各区治理扬尘、遗撒、露天焚烧（垃圾、树叶）、垃圾清运、渣土运输、露天烧烤等措施开展情况。依据职责分工，对城市道路施工进行监督，督促有关单位及时对露土和堆土进行覆盖，落实停止开放景观灯光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（15）县交警大队负责</w:t>
      </w:r>
      <w:r>
        <w:rPr>
          <w:rFonts w:hint="default"/>
          <w:b/>
          <w:bCs/>
          <w:color w:val="auto"/>
          <w:sz w:val="24"/>
          <w:szCs w:val="24"/>
          <w:u w:val="single"/>
          <w:vertAlign w:val="baseline"/>
          <w:lang w:val="en-US" w:eastAsia="zh-CN"/>
        </w:rPr>
        <w:t>在不同预警等级时采取相应交通管制和车辆限行措施，对现行车辆的违章行为进行严厉查处</w:t>
      </w:r>
      <w:r>
        <w:rPr>
          <w:rFonts w:hint="eastAsia"/>
          <w:b/>
          <w:bCs/>
          <w:color w:val="auto"/>
          <w:sz w:val="24"/>
          <w:szCs w:val="24"/>
          <w:u w:val="single"/>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（16）县自然资源局负责落实重污染天气预警时所有露天矿山的关停措施，督促所有非煤矿山停止一切产生扬尘的生产活动。</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（17）县商务局负责落实全县加油站、油库、运油车辆的油气回收设施全部正常运行的措施。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（18）县农业农村局</w:t>
      </w:r>
      <w:r>
        <w:rPr>
          <w:rFonts w:hint="default"/>
          <w:b/>
          <w:bCs/>
          <w:color w:val="auto"/>
          <w:sz w:val="24"/>
          <w:szCs w:val="24"/>
          <w:u w:val="single"/>
          <w:vertAlign w:val="baseline"/>
          <w:lang w:val="en-US" w:eastAsia="zh-CN"/>
        </w:rPr>
        <w:t>负责配合</w:t>
      </w:r>
      <w:r>
        <w:rPr>
          <w:rFonts w:hint="eastAsia"/>
          <w:b/>
          <w:bCs/>
          <w:color w:val="auto"/>
          <w:sz w:val="24"/>
          <w:szCs w:val="24"/>
          <w:u w:val="single"/>
          <w:lang w:val="en-US" w:eastAsia="zh-CN"/>
        </w:rPr>
        <w:t>露天秸秆离田</w:t>
      </w:r>
      <w:r>
        <w:rPr>
          <w:rFonts w:hint="default"/>
          <w:b/>
          <w:bCs/>
          <w:color w:val="auto"/>
          <w:sz w:val="24"/>
          <w:szCs w:val="24"/>
          <w:u w:val="single"/>
          <w:vertAlign w:val="baseline"/>
          <w:lang w:val="en-US" w:eastAsia="zh-CN"/>
        </w:rPr>
        <w:t>相关工作</w:t>
      </w:r>
      <w:r>
        <w:rPr>
          <w:rFonts w:hint="eastAsia"/>
          <w:b/>
          <w:bCs/>
          <w:color w:val="auto"/>
          <w:sz w:val="24"/>
          <w:szCs w:val="24"/>
          <w:u w:val="single"/>
          <w:vertAlign w:val="baseline"/>
          <w:lang w:val="en-US" w:eastAsia="zh-CN"/>
        </w:rPr>
        <w:t>。</w:t>
      </w:r>
    </w:p>
    <w:p>
      <w:pPr>
        <w:pStyle w:val="4"/>
        <w:spacing w:before="0" w:after="0" w:line="360" w:lineRule="auto"/>
        <w:rPr>
          <w:rFonts w:hint="default"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2.</w:t>
      </w:r>
      <w:r>
        <w:rPr>
          <w:rFonts w:hint="eastAsia" w:ascii="Times New Roman" w:hAnsi="Times New Roman" w:cs="Times New Roman"/>
          <w:b/>
          <w:bCs/>
          <w:color w:val="auto"/>
          <w:sz w:val="24"/>
          <w:szCs w:val="24"/>
          <w:u w:val="single"/>
          <w:lang w:val="en-US" w:eastAsia="zh-CN"/>
        </w:rPr>
        <w:t>4</w:t>
      </w:r>
      <w:r>
        <w:rPr>
          <w:rFonts w:hint="eastAsia" w:ascii="Times New Roman" w:hAnsi="Times New Roman" w:eastAsia="宋体" w:cs="Times New Roman"/>
          <w:b/>
          <w:bCs/>
          <w:color w:val="auto"/>
          <w:sz w:val="24"/>
          <w:szCs w:val="24"/>
          <w:u w:val="single"/>
          <w:lang w:val="en-US" w:eastAsia="zh-CN"/>
        </w:rPr>
        <w:t>.</w:t>
      </w:r>
      <w:r>
        <w:rPr>
          <w:rFonts w:hint="eastAsia" w:ascii="Times New Roman" w:hAnsi="Times New Roman" w:cs="Times New Roman"/>
          <w:b/>
          <w:bCs/>
          <w:color w:val="auto"/>
          <w:sz w:val="24"/>
          <w:szCs w:val="24"/>
          <w:u w:val="single"/>
          <w:lang w:val="en-US" w:eastAsia="zh-CN"/>
        </w:rPr>
        <w:t>3县域内各企事业单位</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有关企业事业单位必须按照要求，自行编制本单位的重污染天气应急预案及实施方案，同时与政府主管部门签署责任承诺书，切实履行防治大气污染的社会责任。</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32"/>
          <w:szCs w:val="32"/>
          <w:lang w:val="en-US" w:eastAsia="zh-CN"/>
        </w:rPr>
      </w:pPr>
      <w:bookmarkStart w:id="43" w:name="_Toc11147"/>
      <w:r>
        <w:rPr>
          <w:rFonts w:hint="eastAsia" w:ascii="Times New Roman" w:hAnsi="Times New Roman" w:eastAsia="宋体" w:cs="Times New Roman"/>
          <w:b/>
          <w:bCs/>
          <w:color w:val="auto"/>
          <w:sz w:val="32"/>
          <w:szCs w:val="32"/>
          <w:lang w:val="en-US" w:eastAsia="zh-CN"/>
        </w:rPr>
        <w:t>3 监测预警与信息报告</w:t>
      </w:r>
      <w:bookmarkEnd w:id="43"/>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8"/>
          <w:szCs w:val="28"/>
          <w:lang w:val="en-US" w:eastAsia="zh-CN"/>
        </w:rPr>
      </w:pPr>
      <w:bookmarkStart w:id="44" w:name="_Toc24230"/>
      <w:r>
        <w:rPr>
          <w:rFonts w:hint="eastAsia" w:ascii="Times New Roman" w:hAnsi="Times New Roman" w:eastAsia="宋体" w:cs="Times New Roman"/>
          <w:b/>
          <w:bCs/>
          <w:color w:val="auto"/>
          <w:sz w:val="28"/>
          <w:szCs w:val="28"/>
          <w:lang w:val="en-US" w:eastAsia="zh-CN"/>
        </w:rPr>
        <w:t>3.1 监测</w:t>
      </w:r>
      <w:bookmarkEnd w:id="44"/>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3.1.1日常监测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白山市生态环境局抚松县分局、县气象局分别负责环境空气质量监测和气象状况观测，同时做好数据收集处理、研判等工作，并及时向应急指挥办公室报送有关信息，为预报、会商、预警提供依据。</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白山市生态环境局抚松县分局、县气象局根据气象条件变化趋势，结合对实时环境空气质量及大气污染物排放源情况的分析、研判，对未来7天县域环境空气质量进行预测预报。</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3.1.2应急监测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重污染天气应急情况下，白山市生态环境局抚松县分局、县气象局应跟踪掌握环境空气质量和气象条件的变化情况，开展应急监测，并结合历史数据，进行重污染天气预报会商工作，未来可能出现重污染天气时，应及时发起会商，必要时组织专家参与会商。重污染天气应急响应期间，加密会商频次，做到每3小时会商一次。重污染天气已经出现，且未发布预警信息时，要实时会商。</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3.1.3监测方案</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（1）监测目的</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掌握污染因子的浓度情况，波及范围，为有关部门提出采取相关措施提供数据支撑。</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（2）监测因子</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vertAlign w:val="subscript"/>
          <w:lang w:val="en-US" w:eastAsia="zh-CN"/>
        </w:rPr>
      </w:pPr>
      <w:r>
        <w:rPr>
          <w:rFonts w:hint="eastAsia"/>
          <w:b/>
          <w:bCs/>
          <w:color w:val="auto"/>
          <w:sz w:val="24"/>
          <w:szCs w:val="24"/>
          <w:u w:val="single"/>
          <w:lang w:val="en-US" w:eastAsia="zh-CN"/>
        </w:rPr>
        <w:t>SO</w:t>
      </w:r>
      <w:r>
        <w:rPr>
          <w:rFonts w:hint="eastAsia"/>
          <w:b/>
          <w:bCs/>
          <w:color w:val="auto"/>
          <w:sz w:val="24"/>
          <w:szCs w:val="24"/>
          <w:u w:val="single"/>
          <w:vertAlign w:val="subscript"/>
          <w:lang w:val="en-US" w:eastAsia="zh-CN"/>
        </w:rPr>
        <w:t>2</w:t>
      </w:r>
      <w:r>
        <w:rPr>
          <w:rFonts w:hint="eastAsia"/>
          <w:b/>
          <w:bCs/>
          <w:color w:val="auto"/>
          <w:sz w:val="24"/>
          <w:szCs w:val="24"/>
          <w:u w:val="single"/>
          <w:vertAlign w:val="baseline"/>
          <w:lang w:val="en-US" w:eastAsia="zh-CN"/>
        </w:rPr>
        <w:t>、NOx及CO等燃烧、爆炸产生的特征污染物。</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（3）监测时间和频次</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按照事故持续时间决定监测时间，根据事故严重性决定监测频次。一般情况下每30分钟监测1次，随事故控制减弱，适当减少监测频次。</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（4）监测点布设</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color w:val="auto"/>
          <w:sz w:val="24"/>
          <w:szCs w:val="24"/>
          <w:lang w:val="en-US" w:eastAsia="zh-CN"/>
        </w:rPr>
      </w:pPr>
      <w:r>
        <w:rPr>
          <w:rFonts w:hint="eastAsia"/>
          <w:b/>
          <w:bCs/>
          <w:color w:val="auto"/>
          <w:sz w:val="24"/>
          <w:szCs w:val="24"/>
          <w:u w:val="single"/>
          <w:lang w:val="en-US" w:eastAsia="zh-CN"/>
        </w:rPr>
        <w:t>根据应急情况发生时风向、风速，判断扩散的方向、速度，在下风向主轴线以及两侧扩散方向的警戒线上布设3个监测点，取下风向影响区域内主要的敏感保护目标和影响范围线上，设置1-3个监测点，对燃烧产污下风向扩散区域进行检测。</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8"/>
          <w:szCs w:val="28"/>
          <w:lang w:val="en-US" w:eastAsia="zh-CN"/>
        </w:rPr>
      </w:pPr>
      <w:bookmarkStart w:id="45" w:name="_Toc8411"/>
      <w:r>
        <w:rPr>
          <w:rFonts w:hint="eastAsia" w:ascii="Times New Roman" w:hAnsi="Times New Roman" w:eastAsia="宋体" w:cs="Times New Roman"/>
          <w:b/>
          <w:bCs/>
          <w:color w:val="auto"/>
          <w:sz w:val="28"/>
          <w:szCs w:val="28"/>
          <w:lang w:val="en-US" w:eastAsia="zh-CN"/>
        </w:rPr>
        <w:t>3.2 预警</w:t>
      </w:r>
      <w:bookmarkEnd w:id="45"/>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3.2.1预警分级</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根据《关于印发&lt;深入大号重污染天气消除、臭氧污染防治和柴油货车污染治理攻坚战行动方案&gt;的通知》及生态环境部《环境空气质量指数（AQI）技术规定》（HJ633-2012）分级方法，以空气质量指数（AQI）日均值为指标，按连续24小时（可以跨自然日）均值计算，按照环境质量预测结果、空气污染程度、重污染天气持续时间和影响范围，将城市重污染天气预警分为3个级别，由轻到重依次为黄色预警、橙色预警、红色预警。</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（1）黄色预警：预测日AQI&gt;200或日AQI&gt;150持续48小时及以上，且短时出现重度污染、未达到橙色预警条件时；</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（2）橙色预警：预测日AQI&gt;200持续48小时或日AQI&gt;150持续72小时及以上，且未达到红色预警条件时；</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color w:val="auto"/>
          <w:sz w:val="24"/>
          <w:szCs w:val="24"/>
          <w:lang w:val="en-US" w:eastAsia="zh-CN"/>
        </w:rPr>
      </w:pPr>
      <w:r>
        <w:rPr>
          <w:rFonts w:hint="eastAsia"/>
          <w:b/>
          <w:bCs/>
          <w:color w:val="auto"/>
          <w:sz w:val="24"/>
          <w:szCs w:val="24"/>
          <w:u w:val="single"/>
          <w:lang w:val="en-US" w:eastAsia="zh-CN"/>
        </w:rPr>
        <w:t>（3）红色预警：预测日AQI&gt;200持续72小时且日AQI&gt;300将持续24小时及以上。</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3.2.2预警条件</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（1）预测全县域5个及以上区域相邻区域同时达到黄色、橙色或红色预警条件时，启动相应级别的县级预警。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（2）县域内达到重污染天气预警级别时，由县人民政府启动本地区相应级别预警。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（3）当接到吉林省生态环境厅、白山市生态环境局或区域空气质量预测预报中心预警提示信息时，县应急指挥部和相关区域应根据预警提示信息，结合本地实际情况及时启动相应级别预警，做到区域协调联动。</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3.2.3预警发布与解除</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（1）预警发布</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白山市生态环境局抚松县分局与县气象局联合会商，运用环境监测和气象观测资料，做好大气污染过程的趋势分析和研判，每日9:00之前开始对未来24小时、48小时、72小时空气质量进行监测预报。</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一旦达到预警级别，要在当日10:00之前以电子邮件形式将预警信息报县重污染天气应急指挥部办公室，并进行电话确认。应急指挥部办公室负责对重污染天气预警信息进行研判，必要时可组织县重污染天气监测预警会商专家委员会进行会商，确定预警等级并制定相关应急措施，并由相应领导批准后，在当日12:00之前向社会发布重污染天气预警信息。</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各镇、乡政府，县政府各部门按照职责分工负责在当日14:00之前通知相关企事业单位做好准备。整个应急措施自次日0:00正式开始。因生产安全、民生保障等特殊原因，无法按时采取规定应急措施企事业单位或部门，应在当日15:00前将书面请示报县重污染天气应急指挥部办公室，经应急指挥部办公室审批同意后，方可实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预警信息主要包括以下内容：</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color w:val="auto"/>
          <w:sz w:val="24"/>
          <w:szCs w:val="24"/>
          <w:lang w:val="en-US" w:eastAsia="zh-CN"/>
        </w:rPr>
      </w:pPr>
      <w:r>
        <w:rPr>
          <w:rFonts w:hint="eastAsia"/>
          <w:b/>
          <w:bCs/>
          <w:color w:val="auto"/>
          <w:sz w:val="24"/>
          <w:szCs w:val="24"/>
          <w:u w:val="single"/>
          <w:lang w:val="en-US" w:eastAsia="zh-CN"/>
        </w:rPr>
        <w:t>未来24小时（指次日0:00-24:00）、48 小时（指次日0:00-第三日24:00）、72小时（指次日0:00-第四日24:00）城市气象条件变化趋势、重污染天气发生的时间、地点、范围、AQI指数范围、首要污染物、空气质量级别、预警等级等，因臭氧、燃放烟花爆竹等导致的重污染天气应予以说明。</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（2）预警上报</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抚松县重污染天气应急指挥部在当日12:00之前同时向省政府应急主管部门报送预警信息。白山市生态环境局抚松县分局在接到正式预警通知后，及时向省生态环境厅应急主管部门报送预警信息。</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县重污染天气应急指挥部办公室收到省级以上的重污染天气预警信息，负责在60分钟内对省级以上的重污染天气预警信息进行研判，必要时可咨询县重污染天气监测预警会商专家委员会。如决定发出预警，则按规定预警程序执行；如决定不发出预警，则书面回复省级相关主管部门。</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（3）预警级别调整</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预警信息发布后，应急响应前，空气质量预测结果发生变化，与预警信息不符的，应结合实际情况及时调整预警等级或取消预警。应急响应后，当空气质量预测结果或监测数据达到更高预警等级时，应尽早提高预警等级，升级应急响应措施；当预测未来空气质量改善，且将持续</w:t>
      </w:r>
      <w:r>
        <w:rPr>
          <w:rFonts w:hint="default"/>
          <w:b/>
          <w:bCs/>
          <w:color w:val="auto"/>
          <w:sz w:val="24"/>
          <w:szCs w:val="24"/>
          <w:u w:val="single"/>
          <w:lang w:val="en-US" w:eastAsia="zh-CN"/>
        </w:rPr>
        <w:t>36</w:t>
      </w:r>
      <w:r>
        <w:rPr>
          <w:rFonts w:hint="eastAsia"/>
          <w:b/>
          <w:bCs/>
          <w:color w:val="auto"/>
          <w:sz w:val="24"/>
          <w:szCs w:val="24"/>
          <w:u w:val="single"/>
          <w:lang w:val="en-US" w:eastAsia="zh-CN"/>
        </w:rPr>
        <w:t xml:space="preserve">小时及以上时，应降低预警等级或解除应急响应，并提前发布信息。 </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当预测或监测到空气质量达到更高级别预警条件时，可以升级预警级别；当预测或监测到空气质量低于现有预警级别，但未达到解除条件时，可以降低预警级别。</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当接到生态环境部、吉林省人民政府或省级其他大气污染防治工作机构、白山市人民政府或市级其他大气污染防治工作机构通报的预警等级调整信息，经履行相应程序，县指挥部办公室向各乡镇、各有关部门发布预警等级调整要求。</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（4）预警解除</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预警解除即响应终止。白山市生态环境局抚松县分局和县气象局每日对未来24小时、48小时、72小时空气质量进行监测预报，一旦未来空气质量不满足Ⅲ级、Ⅱ级或Ⅰ级重污染天气预警条件时，要在当日10:00之前以电子邮件形式将预警解除信息报抚松县重污染天气应急指挥部办公室，并进行电话确认。应急指挥部办公室负责对预警解除信息进行研判（必要时可组织县重污染天气监测预警会商专家委员会进行会商，形成专家委员会意见），报经指挥部相应领导批准后，在当日12:00之前将向相关县直部门，镇、乡政府以及社会通报和发布预警解除信息，并继续进行跟踪监测和评估。</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（5）预警审批</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Ⅲ级预警的发布与解除由抚松县重污染天气应急指挥部办公室主任批准，同时向总指挥和副总指挥报告；Ⅱ级预警的发布与解除由总指挥授权的副总指挥批准，同时向总指挥报告；Ⅰ级预警的发布与解除由总指挥批准，或由总指挥授权的副总指挥批准。一旦经预测城市将再次出现本方案规定的Ⅲ级、Ⅱ级或Ⅰ级重污染天气预警条件时，相关部门应按照程序再次进行预警信息报送工作。</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（6）发布途径</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各级预警由抚松县重污染天气应急指挥部办公室通过抚松县政务办公信息网发布预警通知，并在县政府网站进行公告。新闻媒体、白山市生态环境局抚松县分局网站可对预警公告进行宣传发布。县政府新闻办指导县通信主管部门、县广电局采取手机短信、广播、电视、网络、报纸、电子显示屏装置等方式及时向社会公众发布空气质量预警信息。</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（7）预警启动</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抚松县重污染天气应急指挥部各成员单位以及各镇、乡政府接到预警公告后，立即根据各自职责、各镇、乡应急预案和部门实施方案规定启动相应的预警应急措施。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启动预警应急措施后，县政府组织县纪委监委、新闻媒体和有关成员单位对落实情况进行督导检查。</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3.2.4预警措施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针对不同级别的预警，采取相应的预警措施。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（1）黄色预警（Ⅲ级）</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在启动黄色预警时，指挥部办公室负责每12小时向指挥部报告1次当前大气污染程度。宣传报道组每天向公众发布1次预警信息，提醒市民及时采取健康防护措施，一般人群减少户外活动和室外作业时间。</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（2）橙色预警（Ⅱ级）</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在启动橙色预警时，指挥部办公室负责每8小时向指挥部报告1次当前大气污染程度。宣传报道组每天向公众发布2次预警信息，提醒市民及时采取健康防护措施，一般人群尽量避免户外活动，倡导相关单位和公众积极采取建议性污染减排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（3）红色预警（Ⅰ级）</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在启动红色预警时，指挥部办公室负责每6小时向指挥部报告1次当前大气污染程度。宣传报道组每天向公众发布3次预警信息，提醒市民及时采取健康防护措施，一般人群应避免户外活动，倡导大气污染物排放企业积极采取限产限排措施。应急值班人员要24小时上岗、保持通讯畅通，对大气污染源在线监测数据实时24小时跟踪监控。</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46" w:name="_Toc11102"/>
      <w:r>
        <w:rPr>
          <w:rFonts w:hint="eastAsia" w:ascii="Times New Roman" w:hAnsi="Times New Roman" w:eastAsia="宋体" w:cs="Times New Roman"/>
          <w:b/>
          <w:bCs/>
          <w:color w:val="auto"/>
          <w:sz w:val="28"/>
          <w:szCs w:val="28"/>
          <w:lang w:val="en-US" w:eastAsia="zh-CN"/>
        </w:rPr>
        <w:t>3.3信息上报</w:t>
      </w:r>
      <w:bookmarkEnd w:id="46"/>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抚松县人民政府在预警信息发布后1小时内，向省、市级应急指挥办公室报告预警发布和应急响应启动情况。</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重污染天气Ⅲ级及以上预警启动期间，抚松县人民政府应当于每日14时前向省应急指挥部办公室及白山市应急指挥部办公室报告工作开展情况。</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重污染天气Ⅳ及及以上预警终止1小时内，抚松县人民政府应当向省应急指挥部及白山市应急指挥部报送终止响应信息，48小时内报送本次重污染天气应对总结报告。</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抚松县人民政府及有关部门、企业应做好重污染天气应急过程记录，建立档案制度。</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32"/>
          <w:szCs w:val="32"/>
          <w:lang w:val="en-US" w:eastAsia="zh-CN"/>
        </w:rPr>
      </w:pPr>
      <w:bookmarkStart w:id="47" w:name="_Toc11619"/>
      <w:r>
        <w:rPr>
          <w:rFonts w:hint="eastAsia" w:ascii="Times New Roman" w:hAnsi="Times New Roman" w:eastAsia="宋体" w:cs="Times New Roman"/>
          <w:b/>
          <w:bCs/>
          <w:color w:val="auto"/>
          <w:sz w:val="32"/>
          <w:szCs w:val="32"/>
          <w:lang w:val="en-US" w:eastAsia="zh-CN"/>
        </w:rPr>
        <w:t>4 应急响应</w:t>
      </w:r>
      <w:bookmarkEnd w:id="47"/>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48" w:name="_Toc17368"/>
      <w:r>
        <w:rPr>
          <w:rFonts w:hint="eastAsia" w:ascii="Times New Roman" w:hAnsi="Times New Roman" w:eastAsia="宋体" w:cs="Times New Roman"/>
          <w:b/>
          <w:bCs/>
          <w:color w:val="auto"/>
          <w:sz w:val="28"/>
          <w:szCs w:val="28"/>
          <w:lang w:val="en-US" w:eastAsia="zh-CN"/>
        </w:rPr>
        <w:t>4.1应急响应分级及内容</w:t>
      </w:r>
      <w:bookmarkEnd w:id="48"/>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4.1.1应急响应分级</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县级应急响应分3个等级，由低到高依次为三级应急响应（黄色预警）、二级应急相应（橙色预警）、一级应急响应（红色预警）。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应急相应内容包括健康防护措施、倡议性污染减排措施和强制性污染减排措施。</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4.1.2分级响应程序</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县重污染天气应急指挥部办公室接到预警信息后，提出应急响应建议，由应急指挥部批准启动应急响应程序。应急指挥部办公室向成员单位下达启动应急响应指令。</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4.1.3应急指挥</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启动Ⅲ级响应时，现场负责人为县重污染天气应急指挥部办公室主任；启动Ⅱ级响应时，现场负责人为县重污染天气应急指挥部授权副总指挥；启动Ⅰ级响应时，现场负责人为县重污染天气应急指挥部总指挥或授权副总指挥。</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4.1.4应急措施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宣传报道组通过广播、电视、网络、报纸等媒体和气象短信等形式发布空气质量信息公告，提醒市民及时采取健康防护措施，倡导相关单位和公众积极采取建议性污染减排措施。</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49" w:name="_Toc26461"/>
      <w:r>
        <w:rPr>
          <w:rFonts w:hint="eastAsia" w:ascii="Times New Roman" w:hAnsi="Times New Roman" w:eastAsia="宋体" w:cs="Times New Roman"/>
          <w:b/>
          <w:bCs/>
          <w:color w:val="auto"/>
          <w:sz w:val="28"/>
          <w:szCs w:val="28"/>
          <w:lang w:val="en-US" w:eastAsia="zh-CN"/>
        </w:rPr>
        <w:t>4.2应急响应启动</w:t>
      </w:r>
      <w:bookmarkEnd w:id="49"/>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应急响应与预警同步启动，即发布预警的同时启动相应等级的应急响应。也可根据大气污染物的特征，适当提高应急响应级别或应急响应措施。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在采取预警措施的基础上，值班人员应24小时上岗，保持通讯畅通，加强监控，对大气污染可能发生的时间、地点、范围、强度、移动路径变化及时做出预报，增加向公众发布通告的频次。</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如省级发布预警时，抚松县人民政府应启动不低于省级预警级别的应急响应；省级已启动红色预警时，仍执行一级应急响应。</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50" w:name="_Toc21205"/>
      <w:r>
        <w:rPr>
          <w:rFonts w:hint="eastAsia" w:ascii="Times New Roman" w:hAnsi="Times New Roman" w:eastAsia="宋体" w:cs="Times New Roman"/>
          <w:b/>
          <w:bCs/>
          <w:color w:val="auto"/>
          <w:sz w:val="28"/>
          <w:szCs w:val="28"/>
          <w:lang w:val="en-US" w:eastAsia="zh-CN"/>
        </w:rPr>
        <w:t>4.3应急响应</w:t>
      </w:r>
      <w:bookmarkEnd w:id="50"/>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发布预警信息后，县人民政府应当立即组织相关部门、单位和相关企业进入应急响应状态，并且采取响应级别的相应措施。包括但不限于以下措施。</w:t>
      </w:r>
    </w:p>
    <w:p>
      <w:pPr>
        <w:pStyle w:val="4"/>
        <w:spacing w:before="0" w:after="0" w:line="360" w:lineRule="auto"/>
        <w:rPr>
          <w:rFonts w:hint="default" w:ascii="Times New Roman" w:hAnsi="Times New Roman" w:cs="Times New Roman"/>
          <w:b/>
          <w:bCs/>
          <w:color w:val="auto"/>
          <w:sz w:val="24"/>
          <w:szCs w:val="24"/>
          <w:u w:val="single"/>
          <w:lang w:val="en-US" w:eastAsia="zh-CN"/>
        </w:rPr>
      </w:pPr>
      <w:r>
        <w:rPr>
          <w:rFonts w:hint="eastAsia" w:ascii="Times New Roman" w:hAnsi="Times New Roman" w:cs="Times New Roman"/>
          <w:b/>
          <w:bCs/>
          <w:color w:val="auto"/>
          <w:sz w:val="24"/>
          <w:szCs w:val="24"/>
          <w:u w:val="single"/>
          <w:lang w:val="en-US" w:eastAsia="zh-CN"/>
        </w:rPr>
        <w:t>4.3.1三级应急响应（黄色预警）</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应急指挥部门通过广播、电视、网络、报刊等媒体和微博等便于公众知晓的方式及时向受影响区域公众发布消息，告知公众主动采取自我防护措施。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（1）健康防护措施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①儿童、老人和呼吸道、心脑血管病及其他慢性疾病患者尽量留在室内，避免户外活动，尽量减少开窗通风时间。</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②一般人群减少或避免户外活动；室外工作、执勤、作业、活动等人员可以采取佩戴口罩、缩短户外工作时间等必要的防护措施。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③全县中小学、幼儿园减少或停止组织室外课程及活动。</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④县卫生健康局负责组织医疗机构加强相关疾病门诊、急诊力量，增加接诊数量。</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⑤白山市生态环境局抚松县分局、县卫生健康局、县教育局和各乡镇政府分别按行业和属地管理要求，加强对空气重污染应急、健康防护等方面科普知识的宣传。</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（2）倡议性污染减排措施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①日常生活尽量减少能源消耗，或改用清洁能源替代。</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②倡导公众绿色出行，尽量以乘坐公共交通工具或电动汽车等方式出行，减少机动车上路行驶；驻车及时熄火，减少车辆原地怠速运行时间。</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③倡导公众绿色消费，单位和公众尽量减少含挥发性有机物的涂料、油漆、溶解等原材料及产品的使用。</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④倡导排污单位加强管理，提高污染治理设施效率，主动减排，调整有大气污染物排放生产工艺的生产时间。</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⑤日常增加道路清扫频次，减少道路扬尘污染。</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（3）强制性污染减排措施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按照抚松县重污染天气应急减排清单，实施黄色预警下的应急减排措施，减少污染物排放。各相关部门按照职能分工负责督导落实。</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①工业减排措施。县域内工业企业按照重污染天气重点行业绩效分级，实施差异化减排措施，实现应急减排目标。</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白山市生态环境局抚松县分局：加大对燃煤锅炉、工业企业等各类污染源的检查频次，确保除尘、脱硫。脱硝等大气污染方式设施有效运转，污染物达标排放；加强重点污染源监管和污染源自动监测数据核查，对超标排放污染物的单位予以查处。</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县工业和信息化局：对火电、水泥、铸造及生产或使用涂料、油漆、溶剂等排放挥发性有机物重点排污企业采取限产限排措施，大气污染物排放量减少10%以上。</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②扬尘污染控制措施。除应急抢险、重大民生工程外，城市建成区施工工地按照绩效分级，差异化实施停止室外喷涂粉刷、护坡喷浆、建筑拆除、切割、土石方、道路设施防腐、道路沥青铺装等施工作业。露天堆放的散装物料全部苫盖，增加洒水降尘频次。混凝土搅拌站和砂浆搅拌站按照绩效分级，差异化实施停止原材料运输。清洁作业在常规作业基础上，对重点道路增加机扫、吸扫等清洁频次。</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县住房和城乡建设局：差异化实施停止县域内室外喷涂粉刷、护坡喷浆、建筑拆除、切割、土石方、道路设施防腐、道路沥青铺装等施工作业。加强对建筑工地料堆、土堆的围挡、覆盖等防尘措施进行检查，督促施工单位增加供地裸露地面的洒水降尘频次，检查工地出入口是否已硬化铺装，是否已设置冲洗设施并按规范操作，物料、渣土等运输车辆是否已采取密闭措施；加强对绿化施工的监督管理，防止绿化施工过程中产生扬尘污染。</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抚松县人民政府、抚松县工业集中区：增加道路清扫保洁、洒水降尘作业频次。</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白山市生态环境局抚松县分局：加大对物料堆场扬尘控制的监督力度，增加对工业企业各类煤、渣、砂石等物料堆放围挡与覆盖的检查频次，减少扬尘污染。</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③移动源减排措施。加强交通管制，可采取在主城区限制高排放车辆使用和非道路移动机械使用等措施。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县公安局：加强路检，加大对高污染黄标车辆的管控查处力度。</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县交通运输局：督促运输企业加强对客车、货运车辆的维修保养。</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④其他措施。加大对各类大气污染源检查频次，确保污染治理设施稳定运行。严格落实管控企业电力调度。禁止秸秆露天焚烧。加强对烟花爆竹燃放管控。</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县农业农村局、白山市生态环境局抚松县分局、县公安局：增加对露天秸秆离田工作的检查频次。</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抚松县政府、抚松县工业集中区：加大对工业企业限停产或错时生产、施工工地扬尘管控、渣土运输车辆遗撒、露天烧烤、违法经营使用燃煤等违法行为的执法检查力度，对发现的环境违法行为要依法予以处罚，并监督整改落实到位，保障各项减排措施的落实。</w:t>
      </w:r>
    </w:p>
    <w:p>
      <w:pPr>
        <w:pStyle w:val="4"/>
        <w:spacing w:before="0" w:after="0" w:line="360" w:lineRule="auto"/>
        <w:rPr>
          <w:rFonts w:hint="default" w:ascii="Times New Roman" w:hAnsi="Times New Roman" w:cs="Times New Roman"/>
          <w:b/>
          <w:bCs/>
          <w:color w:val="auto"/>
          <w:sz w:val="24"/>
          <w:szCs w:val="24"/>
          <w:u w:val="single"/>
          <w:lang w:val="en-US" w:eastAsia="zh-CN"/>
        </w:rPr>
      </w:pPr>
      <w:r>
        <w:rPr>
          <w:rFonts w:hint="eastAsia" w:ascii="Times New Roman" w:hAnsi="Times New Roman" w:cs="Times New Roman"/>
          <w:b/>
          <w:bCs/>
          <w:color w:val="auto"/>
          <w:sz w:val="24"/>
          <w:szCs w:val="24"/>
          <w:u w:val="single"/>
          <w:lang w:val="en-US" w:eastAsia="zh-CN"/>
        </w:rPr>
        <w:t>4.3.2二级应急响应（橙色预警）</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在执行三级应急响应措施的基础上，采用手机短信的方式向受影响区域公众发布消息，增加如下措施：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（1）健康防护措施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①县教育局组织中小学、幼儿园采取弹性教学，停止室外课程及活动。停止举办大型群众性户外活动。</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②县卫生健康局及全县各级医疗卫生机构（如医院、乡镇卫生院等）加强对呼吸类疾病患者的防护宣传和就医指导。</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（2）倡议性污染减排措施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①组织排污单位加强管理，提高污染治理设施效率，减少排放大气污染物生产工艺的生产时间，主动减排。</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②企业合理安排运输，减少中性燃油（燃气）载货车辆使用，尽量使用国六或纯电动、氢燃料电池汽车运输。</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③最大限度减少溶剂型涂料、胶粘剂、清洗剂、油墨及其他溶剂型含挥发性有机物的原辅材料及产品的使用。</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④企事业单位可根据空气污染情况实行错峰上下班。</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（3）强制性污染减排措施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按照抚松县重污染天气应急减排清单，实施橙色预警下的应急减排措施，减少污染物排放。各相关部门按照职能分工负责督导落实。</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①工业减排措施。县域内工业企业按照重污染天气重点行业绩效分级，实施差异化减排措施，实现应急减排目标。</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白山市生态环境局抚松县分局：加大对燃煤锅炉、工业企业等各类污染源的检查频次，确保除尘、脱硫。脱硝等大气污染方式设施有效运转，污染物达标排放；加强重点污染源监管和污染源自动监测数据核查，对超标排放污染物的单位予以查处。</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县工业和信息化局：对火电、水泥、铸造及生产或使用涂料、油漆、溶剂等排放挥发性有机物重点排污企业采取限产限排措施，大气污染物排放量减少20%以上。</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②扬尘污染控制措施。施工工地按照绩效分级，差异化实施停止室外喷涂粉刷、护坡喷浆、建筑拆除、切割、土石方、道路设施防腐、道路沥青铺装等施工作业。</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县住房和城乡建设局：差异化实施停止县域内室外喷涂粉刷、护坡喷浆、建筑拆除、切割、土石方、道路设施防腐、道路沥青铺装等施工作业。加强对建筑工地料堆、土堆的围挡、覆盖等防尘措施进行检查，督促施工单位增加供地裸露地面的洒水降尘频次，检查工地出入口是否已硬化铺装，是否已设置冲洗设施并按规范操作，物料、渣土等运输车辆是否已采取密闭措施；加强对绿化施工的监督管理，防止绿化施工过程中产生扬尘污染。</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抚松县人民政府、</w:t>
      </w:r>
      <w:r>
        <w:rPr>
          <w:rFonts w:hint="eastAsia"/>
          <w:b/>
          <w:bCs/>
          <w:color w:val="auto"/>
          <w:sz w:val="24"/>
          <w:szCs w:val="24"/>
          <w:u w:val="single"/>
          <w:lang w:val="en-US" w:eastAsia="zh-CN"/>
        </w:rPr>
        <w:t>抚松县工业集中区</w:t>
      </w:r>
      <w:r>
        <w:rPr>
          <w:rFonts w:hint="eastAsia"/>
          <w:b/>
          <w:bCs/>
          <w:color w:val="auto"/>
          <w:sz w:val="24"/>
          <w:szCs w:val="24"/>
          <w:u w:val="single"/>
          <w:shd w:val="clear" w:color="auto" w:fill="auto"/>
          <w:lang w:val="en-US" w:eastAsia="zh-CN"/>
        </w:rPr>
        <w:t>：增加道路清扫保洁、洒水降尘作业频次。</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白山市生态环境局抚松县分局：加大对物料堆场扬尘控制的监督力度，增加对工业企业各类煤、渣、砂石等物料堆放围挡与覆盖的检查频次，减少扬尘污染。</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③移动源减排措施。扩大交通管制范围，除涉及重大民生工程、安全生产及应急抢险任务外，在主城区实行重型、中型货车及工程渣土车等区域限行，引导车辆避开主城区行驶。涉及大宗原材料及产品运输的重点用车企业，应制定错峰运输方案，从源头管控高排放车辆。停止使用非道路移动机械（纯电动、氢燃料电池机械除外）。</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县公安局：加强路检，加大对高污染黄标车辆的管控查处力度，环城公路（不含）以内区域实施黄标车禁行，主要街道实施机动车尾号单双号限行。</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县交通运输局：督促运输企业加强对客车、货运车辆的维修保养。</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党政机关、事业单位：停驶30%公务车辆。</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④其他措施。燃放烟花爆竹燃放及露天烧烤。</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县农业农村局、白山市生态环境局抚松县分局、县公安局：</w:t>
      </w:r>
      <w:r>
        <w:rPr>
          <w:rFonts w:hint="eastAsia"/>
          <w:b/>
          <w:bCs/>
          <w:color w:val="auto"/>
          <w:sz w:val="24"/>
          <w:szCs w:val="24"/>
          <w:u w:val="single"/>
          <w:lang w:val="en-US" w:eastAsia="zh-CN"/>
        </w:rPr>
        <w:t>增加对露天秸秆离田工作的检查频次</w:t>
      </w:r>
      <w:r>
        <w:rPr>
          <w:rFonts w:hint="eastAsia"/>
          <w:b/>
          <w:bCs/>
          <w:color w:val="auto"/>
          <w:sz w:val="24"/>
          <w:szCs w:val="24"/>
          <w:u w:val="single"/>
          <w:shd w:val="clear" w:color="auto" w:fill="auto"/>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抚松县政府、</w:t>
      </w:r>
      <w:r>
        <w:rPr>
          <w:rFonts w:hint="eastAsia"/>
          <w:b/>
          <w:bCs/>
          <w:color w:val="auto"/>
          <w:sz w:val="24"/>
          <w:szCs w:val="24"/>
          <w:u w:val="single"/>
          <w:lang w:val="en-US" w:eastAsia="zh-CN"/>
        </w:rPr>
        <w:t>抚松县工业集中区</w:t>
      </w:r>
      <w:r>
        <w:rPr>
          <w:rFonts w:hint="eastAsia"/>
          <w:b/>
          <w:bCs/>
          <w:color w:val="auto"/>
          <w:sz w:val="24"/>
          <w:szCs w:val="24"/>
          <w:u w:val="single"/>
          <w:shd w:val="clear" w:color="auto" w:fill="auto"/>
          <w:lang w:val="en-US" w:eastAsia="zh-CN"/>
        </w:rPr>
        <w:t>：加大对工业企业限停产或错时生产、施工工地扬尘管控、渣土运输车辆遗撒、露天烧烤、违法经营使用燃煤等违法行为的执法检查力度，对发现的环境违法行为要依法予以处罚，并监督整改落实到位，保障各项减排措施的落实。</w:t>
      </w:r>
    </w:p>
    <w:p>
      <w:pPr>
        <w:pStyle w:val="4"/>
        <w:spacing w:before="0" w:after="0" w:line="360" w:lineRule="auto"/>
        <w:rPr>
          <w:rFonts w:hint="default" w:ascii="Times New Roman" w:hAnsi="Times New Roman" w:cs="Times New Roman"/>
          <w:b/>
          <w:bCs/>
          <w:color w:val="auto"/>
          <w:sz w:val="24"/>
          <w:szCs w:val="24"/>
          <w:u w:val="single"/>
          <w:lang w:val="en-US" w:eastAsia="zh-CN"/>
        </w:rPr>
      </w:pPr>
      <w:r>
        <w:rPr>
          <w:rFonts w:hint="eastAsia" w:ascii="Times New Roman" w:hAnsi="Times New Roman" w:cs="Times New Roman"/>
          <w:b/>
          <w:bCs/>
          <w:color w:val="auto"/>
          <w:sz w:val="24"/>
          <w:szCs w:val="24"/>
          <w:u w:val="single"/>
          <w:lang w:val="en-US" w:eastAsia="zh-CN"/>
        </w:rPr>
        <w:t>4.3.3一级应急响应（红色预警）</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在执行二级应急响应措施的基础上，增加如下措施：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（1）健康防护措施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①县教育局可视情况组织有条件的中小学、幼儿园停课，并合理安排停课期间学生的学习生活，做到停课不停学。</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②县卫生健康局及全县各级医疗卫生机构（如医院、乡镇卫生院等）组织专家开展健康防护咨询、讲解防护知识，加强应急值守和对相关疾病患者的诊疗保障。</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（2）倡议性污染减排措施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①大气污染物排放单位在确保达标排放基础上，进一步提高大气污染治理设施的使用效率。</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②倡导企事业单位可根据重污染天气实际情况，应急强制相应措施，采取调休、错峰上下班、远程办公等弹性工作制。</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③加大公共交通运力，有条件的地区免除公交车乘车费用。</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（3）强制性污染减排措施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按照抚松县重污染天气应急减排清单，实施红色预警下的应急减排措施，减少污染物排放。各相关部门按照职能分工负责督导落实。</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①工业减排措施。县域内工业企业按照重污染天气重点行业绩效分级，实施差异化减排措施，实现应急减排目标。</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白山市生态环境局抚松县分局：加大对燃煤锅炉、工业企业等各类污染源的检查频次，确保除尘、脱硫。脱硝等大气污染方式设施有效运转，污染物达标排放；加强重点污染源监管和污染源自动监测数据核查，对超标排放污染物的单位予以查处，增加对限产、限排工业企业的检查频次，加大对重点大气污染物排放企业的监管力度。</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县工业和信息化局：对火电、水泥、铸造及生产或使用涂料、油漆、溶剂等排放挥发性有机物重点排污企业采取限产限排措施，大气污染物排放量减少30%以上。</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②扬尘污染控制措施。除应急抢险外，所有施工工地和建筑工地按照绩效分级，差异化实施停止施工作业（电气、门窗安装等不产生大气污染物的工序除外）。</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县住房和城乡建设局：加强对建筑工地料堆、土堆的围挡、覆盖等防尘措施进行检查，督促施工单位增加供地裸露地面的洒水降尘频次，检查工地出入口是否已硬化铺装，是否已设置冲洗设施并按规范操作，物料、渣土等运输车辆是否已采取密闭措施；停止易产生扬尘污染的建筑工地作业（抢险、抢修工程除外）和拆除改建工程。</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抚松县人民政府、</w:t>
      </w:r>
      <w:r>
        <w:rPr>
          <w:rFonts w:hint="eastAsia"/>
          <w:b/>
          <w:bCs/>
          <w:color w:val="auto"/>
          <w:sz w:val="24"/>
          <w:szCs w:val="24"/>
          <w:u w:val="single"/>
          <w:lang w:val="en-US" w:eastAsia="zh-CN"/>
        </w:rPr>
        <w:t>抚松县工业集中区</w:t>
      </w:r>
      <w:r>
        <w:rPr>
          <w:rFonts w:hint="eastAsia"/>
          <w:b/>
          <w:bCs/>
          <w:color w:val="auto"/>
          <w:sz w:val="24"/>
          <w:szCs w:val="24"/>
          <w:u w:val="single"/>
          <w:shd w:val="clear" w:color="auto" w:fill="auto"/>
          <w:lang w:val="en-US" w:eastAsia="zh-CN"/>
        </w:rPr>
        <w:t>：增加道路清扫保洁、洒水降尘作业频次。</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白山市生态环境局抚松县分局：加大对物料堆场扬尘控制的监督力度，增加对工业企业各类煤、渣、砂石等物料堆放围挡与覆盖的检查频次，减少扬尘污染。</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③移动源减排措施。进一步加大交通管制范围，结合实际，适当采取使用小型客车限行等强制性减排措施。停止使用非道路移动机械（纯电动、氢燃料电池机械除外）。</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县公安局：加强路检，加大对高污染黄标车辆的管控查处力度，环城公路（不含）以内区域实施黄标车禁行，主要街道实施机动车尾号单双号限行。</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县交通运输局：督促运输企业加强对客车、货运车辆的维修保养。</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党政机关、事业单位：停驶50%公务车辆。</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④其他措施。在具备人工增雨（雪）作业条件下，及时组织实施人工增雨（雪）作业。</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shd w:val="clear" w:color="auto" w:fill="auto"/>
          <w:lang w:val="en-US" w:eastAsia="zh-CN"/>
        </w:rPr>
      </w:pPr>
      <w:r>
        <w:rPr>
          <w:rFonts w:hint="eastAsia"/>
          <w:b/>
          <w:bCs/>
          <w:color w:val="auto"/>
          <w:sz w:val="24"/>
          <w:szCs w:val="24"/>
          <w:u w:val="single"/>
          <w:shd w:val="clear" w:color="auto" w:fill="auto"/>
          <w:lang w:val="en-US" w:eastAsia="zh-CN"/>
        </w:rPr>
        <w:t>县农业农村局、白山市生态环境局抚松县分局、县公安局：</w:t>
      </w:r>
      <w:r>
        <w:rPr>
          <w:rFonts w:hint="eastAsia"/>
          <w:b/>
          <w:bCs/>
          <w:color w:val="auto"/>
          <w:sz w:val="24"/>
          <w:szCs w:val="24"/>
          <w:u w:val="single"/>
          <w:lang w:val="en-US" w:eastAsia="zh-CN"/>
        </w:rPr>
        <w:t>增加对露天秸秆离田工作的检查频次。</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shd w:val="clear" w:color="auto" w:fill="auto"/>
          <w:lang w:val="en-US" w:eastAsia="zh-CN"/>
        </w:rPr>
        <w:t>抚松县政府、</w:t>
      </w:r>
      <w:r>
        <w:rPr>
          <w:rFonts w:hint="eastAsia"/>
          <w:b/>
          <w:bCs/>
          <w:color w:val="auto"/>
          <w:sz w:val="24"/>
          <w:szCs w:val="24"/>
          <w:u w:val="single"/>
          <w:lang w:val="en-US" w:eastAsia="zh-CN"/>
        </w:rPr>
        <w:t>抚松县工业集中区</w:t>
      </w:r>
      <w:r>
        <w:rPr>
          <w:rFonts w:hint="eastAsia"/>
          <w:b/>
          <w:bCs/>
          <w:color w:val="auto"/>
          <w:sz w:val="24"/>
          <w:szCs w:val="24"/>
          <w:u w:val="single"/>
          <w:shd w:val="clear" w:color="auto" w:fill="auto"/>
          <w:lang w:val="en-US" w:eastAsia="zh-CN"/>
        </w:rPr>
        <w:t>：加大对工业企业限停产或错时生产、施工工地扬尘管控、渣土运输车辆遗撒、露天烧烤、违法经营使用燃煤等违法行为的执法检查力度，对发现的环境违法行为要依法予以处罚，并监督整改落实到位，保障各项减排措施的落实。</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县气象局：</w:t>
      </w:r>
      <w:r>
        <w:rPr>
          <w:rFonts w:hint="eastAsia"/>
          <w:b/>
          <w:bCs/>
          <w:color w:val="auto"/>
          <w:sz w:val="24"/>
          <w:szCs w:val="24"/>
          <w:u w:val="single"/>
          <w:shd w:val="clear" w:color="auto" w:fill="auto"/>
          <w:lang w:val="en-US" w:eastAsia="zh-CN"/>
        </w:rPr>
        <w:t>在具备人工增雨（雪）作业条件下，及时组织实施人工增雨（雪）作业。</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51" w:name="_Toc11847"/>
      <w:r>
        <w:rPr>
          <w:rFonts w:hint="eastAsia" w:ascii="Times New Roman" w:hAnsi="Times New Roman" w:eastAsia="宋体" w:cs="Times New Roman"/>
          <w:b/>
          <w:bCs/>
          <w:color w:val="auto"/>
          <w:sz w:val="28"/>
          <w:szCs w:val="28"/>
          <w:lang w:val="en-US" w:eastAsia="zh-CN"/>
        </w:rPr>
        <w:t>4.4县级应急响应</w:t>
      </w:r>
      <w:bookmarkEnd w:id="51"/>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当达到应急预警条件时，抚松县人民政府设立县级应急指挥部，县应急指挥部根据白山市生态环境局抚松县分局、县气象局联合会商、研判结果及预警建议，报抚松县人民政府批准后，由县应急指挥部向社会公众发布预警信息，向各成员单位下达启动预警即应急响应指令。</w:t>
      </w:r>
    </w:p>
    <w:p>
      <w:pPr>
        <w:pStyle w:val="4"/>
        <w:spacing w:before="0" w:after="0"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4.4.1县级三级应急响应</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（1）各成员单位，按职责分工向事发地派出专项工作组，督导应对重污染天气工作开展情况，并且每日对督导情况进行汇总、分析，及时上报县应急指挥部办公室。</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（2）县应急指挥部每日召集相关部门人员、专家，对各地应急响应措施落实情况、发展趋势及事发地区与周边相邻区域之间可能造成的相互影响进行分析、研判，指导各地采取更加有利的应对措施。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（3）白山市生态环境局抚松县分局及时向白山市生态环境局报告相关情况。</w:t>
      </w:r>
    </w:p>
    <w:p>
      <w:pPr>
        <w:pStyle w:val="4"/>
        <w:spacing w:before="0" w:after="0"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4.4.2县级二级应急相应</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在县级三级应急响应措施的基础上，县应急指挥部派出综合督察组到各辖区人民政府督查各项应急相应措施落实情况和各有关单位单位专项督导组工作开展情况。</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4.4.3县级一级应急响应</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在县级二级应急响应措施的基础上，加强对限产限排企业的监督检查。</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52" w:name="_Toc8851"/>
      <w:r>
        <w:rPr>
          <w:rFonts w:hint="eastAsia" w:ascii="Times New Roman" w:hAnsi="Times New Roman" w:eastAsia="宋体" w:cs="Times New Roman"/>
          <w:b/>
          <w:bCs/>
          <w:color w:val="auto"/>
          <w:sz w:val="28"/>
          <w:szCs w:val="28"/>
          <w:lang w:val="en-US" w:eastAsia="zh-CN"/>
        </w:rPr>
        <w:t>4.5事发区域周边应急响应</w:t>
      </w:r>
      <w:bookmarkEnd w:id="52"/>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在启动预警响应时，事发区域周边乡镇人民政府应根据县人民政府应急指挥部指令，采取相应的预警和相应措施。鼓励跨县域交界处区域建立应急联动机制。</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白山市生态环境局或区域空气质量预测预报中心通报预警提示信息时，达到区域联动条件时，抚松县人民政府将根据上级应急指挥部指令，采取相应的预警和相应措施。</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53" w:name="_Toc20795"/>
      <w:r>
        <w:rPr>
          <w:rFonts w:hint="eastAsia" w:ascii="Times New Roman" w:hAnsi="Times New Roman" w:eastAsia="宋体" w:cs="Times New Roman"/>
          <w:b/>
          <w:bCs/>
          <w:color w:val="auto"/>
          <w:sz w:val="28"/>
          <w:szCs w:val="28"/>
          <w:lang w:val="en-US" w:eastAsia="zh-CN"/>
        </w:rPr>
        <w:t>4.6督导检查</w:t>
      </w:r>
      <w:bookmarkEnd w:id="53"/>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4.6.1责任落实</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县</w:t>
      </w:r>
      <w:r>
        <w:rPr>
          <w:rFonts w:hint="default"/>
          <w:color w:val="auto"/>
          <w:sz w:val="24"/>
          <w:szCs w:val="24"/>
          <w:lang w:val="en-US" w:eastAsia="zh-CN"/>
        </w:rPr>
        <w:t>应急指挥部成员单位接到预警指令后，应按照本预案和重污染天气管控方案立即组织开展应急响应。</w:t>
      </w:r>
      <w:r>
        <w:rPr>
          <w:rFonts w:hint="eastAsia"/>
          <w:color w:val="auto"/>
          <w:sz w:val="24"/>
          <w:szCs w:val="24"/>
          <w:lang w:val="en-US" w:eastAsia="zh-CN"/>
        </w:rPr>
        <w:t>下辖各乡镇</w:t>
      </w:r>
      <w:r>
        <w:rPr>
          <w:rFonts w:hint="default"/>
          <w:color w:val="auto"/>
          <w:sz w:val="24"/>
          <w:szCs w:val="24"/>
          <w:lang w:val="en-US" w:eastAsia="zh-CN"/>
        </w:rPr>
        <w:t>人民政府按照属地管理原则，承担本地重污染天气应急主体责任，组织行政区域内有关部门严格执行各项应急措施，组织督查抽查。</w:t>
      </w:r>
      <w:r>
        <w:rPr>
          <w:rFonts w:hint="eastAsia"/>
          <w:color w:val="auto"/>
          <w:sz w:val="24"/>
          <w:szCs w:val="24"/>
          <w:lang w:val="en-US" w:eastAsia="zh-CN"/>
        </w:rPr>
        <w:t>县级</w:t>
      </w:r>
      <w:r>
        <w:rPr>
          <w:rFonts w:hint="default"/>
          <w:color w:val="auto"/>
          <w:sz w:val="24"/>
          <w:szCs w:val="24"/>
          <w:lang w:val="en-US" w:eastAsia="zh-CN"/>
        </w:rPr>
        <w:t>相关部门应加强对本行业重污染天气预警响应的组织管理，逐级细化各项措施，督导行业职能部门认真执行应急措施。</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4.6.2预警监督</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重污染天气出现时，</w:t>
      </w:r>
      <w:r>
        <w:rPr>
          <w:rFonts w:hint="eastAsia"/>
          <w:color w:val="auto"/>
          <w:sz w:val="24"/>
          <w:szCs w:val="24"/>
          <w:lang w:val="en-US" w:eastAsia="zh-CN"/>
        </w:rPr>
        <w:t>县</w:t>
      </w:r>
      <w:r>
        <w:rPr>
          <w:rFonts w:hint="default"/>
          <w:color w:val="auto"/>
          <w:sz w:val="24"/>
          <w:szCs w:val="24"/>
          <w:lang w:val="en-US" w:eastAsia="zh-CN"/>
        </w:rPr>
        <w:t>应急指挥部办公室将对各成员单位重污染天气应对措施的落实及履职情况进行督查</w:t>
      </w:r>
      <w:r>
        <w:rPr>
          <w:rFonts w:hint="eastAsia"/>
          <w:color w:val="auto"/>
          <w:sz w:val="24"/>
          <w:szCs w:val="24"/>
          <w:lang w:val="en-US" w:eastAsia="zh-CN"/>
        </w:rPr>
        <w:t>，</w:t>
      </w:r>
      <w:r>
        <w:rPr>
          <w:rFonts w:hint="default"/>
          <w:color w:val="auto"/>
          <w:sz w:val="24"/>
          <w:szCs w:val="24"/>
          <w:lang w:val="en-US" w:eastAsia="zh-CN"/>
        </w:rPr>
        <w:t>对未按要求启动预案的，要求其立即启动。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default"/>
          <w:color w:val="auto"/>
          <w:sz w:val="24"/>
          <w:szCs w:val="24"/>
          <w:lang w:val="en-US" w:eastAsia="zh-CN"/>
        </w:rPr>
        <w:t>适时组织专家组对各级重污染天气应急预案实施进行效果评估。定期调度通报各</w:t>
      </w:r>
      <w:r>
        <w:rPr>
          <w:rFonts w:hint="eastAsia"/>
          <w:color w:val="auto"/>
          <w:sz w:val="24"/>
          <w:szCs w:val="24"/>
          <w:lang w:val="en-US" w:eastAsia="zh-CN"/>
        </w:rPr>
        <w:t>乡镇</w:t>
      </w:r>
      <w:r>
        <w:rPr>
          <w:rFonts w:hint="default"/>
          <w:color w:val="auto"/>
          <w:sz w:val="24"/>
          <w:szCs w:val="24"/>
          <w:lang w:val="en-US" w:eastAsia="zh-CN"/>
        </w:rPr>
        <w:t>重污染天气应对工作完成情况，提出整改要求和建议，并对发现问题的部门</w:t>
      </w:r>
      <w:r>
        <w:rPr>
          <w:rFonts w:hint="eastAsia"/>
          <w:color w:val="auto"/>
          <w:sz w:val="24"/>
          <w:szCs w:val="24"/>
          <w:lang w:val="en-US" w:eastAsia="zh-CN"/>
        </w:rPr>
        <w:t>及个人提出问责处理意见。</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县重污染天气应急指挥部办公室负责明确应急措施执行的程序和方式，按照程序规定启动应急响应的时间、范围、通知方式等，并明确监督应急响应措施实施的部门和内容。</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白山市生态环境局抚松县分局、县气象局负责在当日10:00之前将未来24-72小时空气质量预警信息报县重污染天气应急指挥部办公室，县重污染天气应急指挥部办公室负责在当日12:00之前向社会以及各镇、乡政府，县政府各部门发布重污染天气预警信息，各镇、乡政府，县政府各部门按照职责分工负责在当日14:00之前通知相关企事业单位做好准备。</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整个应急措施自次日0:00正式开始。因生产安全、民生保障等特殊原因，无法按时采取规定应急措施的企事业单位或部门，应在当日15:00前将书面请示报县重污染天气应急指挥部办公室，经应急指挥部办公室审批同意后，方可实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督</w:t>
      </w:r>
      <w:r>
        <w:rPr>
          <w:rFonts w:hint="default"/>
          <w:color w:val="auto"/>
          <w:sz w:val="24"/>
          <w:szCs w:val="24"/>
          <w:lang w:val="en-US" w:eastAsia="zh-CN"/>
        </w:rPr>
        <w:t>导组负责监督检查重污染天气应急预案启动后的措施落实情况，对未按要求采取积极措施的单位及责任人予以通报、曝光和责任追究。同时白山市生态环境局抚松县分局要加强对企业大气污染物排放的监管，强化责任追究，特别是对重污染期间的偷排超排行为加大处罚力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举报受理部门要加强值班，24小时受理群众举报，对被举报的违规工地、企业、车辆等严厉处罚。同时建立公众有奖举报机制，对于经查证属实的大气污染举报人，给予相应奖励。</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重污染天气应急工作实行各级各单位行政一把手负责制和责任追究制。各项措施责任到人，涉及每个企业、工地、车辆的应急措施，明确具体监管责任单位、监管责任领导、监管责任人，每项应急工作的牵头负责部门明确具体的督导责任人，确保相关应急措施落实到位。</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b w:val="0"/>
          <w:bCs w:val="0"/>
          <w:color w:val="auto"/>
          <w:sz w:val="24"/>
          <w:szCs w:val="24"/>
          <w:highlight w:val="none"/>
          <w:u w:val="none"/>
          <w:lang w:val="en-US" w:eastAsia="zh-CN"/>
        </w:rPr>
      </w:pPr>
      <w:r>
        <w:rPr>
          <w:rFonts w:hint="default"/>
          <w:b w:val="0"/>
          <w:bCs w:val="0"/>
          <w:color w:val="auto"/>
          <w:sz w:val="24"/>
          <w:szCs w:val="24"/>
          <w:highlight w:val="none"/>
          <w:u w:val="none"/>
          <w:lang w:val="en-US" w:eastAsia="zh-CN"/>
        </w:rPr>
        <w:t>抚松县区域内重点大气污染源主要为大中型企业的锅炉、供热站等，主要污染物为SO</w:t>
      </w:r>
      <w:r>
        <w:rPr>
          <w:rFonts w:hint="default"/>
          <w:b w:val="0"/>
          <w:bCs w:val="0"/>
          <w:color w:val="auto"/>
          <w:sz w:val="24"/>
          <w:szCs w:val="24"/>
          <w:highlight w:val="none"/>
          <w:u w:val="none"/>
          <w:vertAlign w:val="subscript"/>
          <w:lang w:val="en-US" w:eastAsia="zh-CN"/>
        </w:rPr>
        <w:t>2</w:t>
      </w:r>
      <w:r>
        <w:rPr>
          <w:rFonts w:hint="default"/>
          <w:b w:val="0"/>
          <w:bCs w:val="0"/>
          <w:color w:val="auto"/>
          <w:sz w:val="24"/>
          <w:szCs w:val="24"/>
          <w:highlight w:val="none"/>
          <w:u w:val="none"/>
          <w:lang w:val="en-US" w:eastAsia="zh-CN"/>
        </w:rPr>
        <w:t>及火灾事故产生的CO等，主要重点企业为</w:t>
      </w:r>
      <w:r>
        <w:rPr>
          <w:rFonts w:hint="eastAsia"/>
          <w:b w:val="0"/>
          <w:bCs w:val="0"/>
          <w:color w:val="auto"/>
          <w:sz w:val="24"/>
          <w:szCs w:val="24"/>
          <w:highlight w:val="none"/>
          <w:u w:val="none"/>
          <w:lang w:val="en-US" w:eastAsia="zh-CN"/>
        </w:rPr>
        <w:t>抚松县中药有限公司、抚松长白山啤酒有限公司</w:t>
      </w:r>
      <w:r>
        <w:rPr>
          <w:rFonts w:hint="default"/>
          <w:b w:val="0"/>
          <w:bCs w:val="0"/>
          <w:color w:val="auto"/>
          <w:sz w:val="24"/>
          <w:szCs w:val="24"/>
          <w:highlight w:val="none"/>
          <w:u w:val="none"/>
          <w:lang w:val="en-US" w:eastAsia="zh-CN"/>
        </w:rPr>
        <w:t>等，抚松县重点企业现已编制有针对性的突发性环境事件应急预案，对企业发生突发性环境事件有具体的处置措施。抚松县重污染天气应急预案针对抚松县存在的大气污染源，在发生重污染天气事件时，对抚松县辖区内企业实施限产及停产等措施，名单见附件4。</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4.6.3公众监督</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抚松县人民政府应建立公众监督机制，制定奖惩制度。通过网络平台、热线电话等多种渠道，鼓励公众对企业停产限产、机动车限行等应急相应措施的落实情况进行监督和实名举报，经核查舒适的给予奖励，对散布谣言并造成恶劣影响者依法依规进行责任追究。</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54" w:name="_Toc1101"/>
      <w:r>
        <w:rPr>
          <w:rFonts w:hint="eastAsia" w:ascii="Times New Roman" w:hAnsi="Times New Roman" w:eastAsia="宋体" w:cs="Times New Roman"/>
          <w:b/>
          <w:bCs/>
          <w:color w:val="auto"/>
          <w:sz w:val="28"/>
          <w:szCs w:val="28"/>
          <w:lang w:val="en-US" w:eastAsia="zh-CN"/>
        </w:rPr>
        <w:t>4.7响应终止</w:t>
      </w:r>
      <w:bookmarkEnd w:id="54"/>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4.7.1终止条件</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当同时满足以下两点条件时，即满足响应终止条件：</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响应地区AQI小于200且预测未来72小时不会出现严重污染天气。</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4.7.2终止程序</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eastAsia"/>
          <w:b/>
          <w:bCs/>
          <w:color w:val="auto"/>
          <w:sz w:val="24"/>
          <w:szCs w:val="24"/>
          <w:u w:val="single"/>
          <w:lang w:val="en-US" w:eastAsia="zh-CN"/>
        </w:rPr>
        <w:t>当符合响应终止条件后，由监测预警组提出响应终止建议，报指挥部审核，有指挥部下达终止指令，各成员单位和响应地区根据指令终止相应行动。</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55" w:name="_Toc18664"/>
      <w:r>
        <w:rPr>
          <w:rFonts w:hint="eastAsia" w:ascii="Times New Roman" w:hAnsi="Times New Roman" w:eastAsia="宋体" w:cs="Times New Roman"/>
          <w:b/>
          <w:bCs/>
          <w:color w:val="auto"/>
          <w:sz w:val="28"/>
          <w:szCs w:val="28"/>
          <w:lang w:val="en-US" w:eastAsia="zh-CN"/>
        </w:rPr>
        <w:t>4.8信息公开与报送</w:t>
      </w:r>
      <w:bookmarkEnd w:id="55"/>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抚松县重污染天气应急指挥部办公室负责组织整个应急过程中的信息公开工作。预案编制期间，要组织开展专家论证，公开向社会征求意见；预案发布后，要组织各新闻媒体、各职能部门，积极开展应急预案的宣传教育工作，特别是要向社会阐明重污染天气应急工作开展的必要性和紧迫性，措施采取的科学性和有效性；预警信息的发布或解除，应急指挥部办公室要在发布相关预警信息的当天，通过手机短信、广播、电视、网络、报纸、电子显示屏装置等方式及时向社会公众发布空气质量预警信息；应急结束后，应急指挥部办公室要及时向社会公布本次应急响应的效果评估报告。</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预警信息公开包含内容</w:t>
      </w:r>
      <w:r>
        <w:rPr>
          <w:rFonts w:hint="eastAsia"/>
          <w:color w:val="auto"/>
          <w:sz w:val="24"/>
          <w:szCs w:val="24"/>
          <w:lang w:val="en-US" w:eastAsia="zh-CN"/>
        </w:rPr>
        <w:t>：</w:t>
      </w:r>
      <w:r>
        <w:rPr>
          <w:rFonts w:hint="default"/>
          <w:color w:val="auto"/>
          <w:sz w:val="24"/>
          <w:szCs w:val="24"/>
          <w:lang w:val="en-US" w:eastAsia="zh-CN"/>
        </w:rPr>
        <w:t>大气污染首要污染物、污染范围、可能持续时间、潜在的危险程度、已采取的措施、可能受影响的区域、公众健康防护提示及需采取的措施建议等。</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应急响应期间，白山市生态环境局抚松县分局要向社会实时发布城市环境空气质量监测数据，县气象局要向社会及时公布气象条件变化情况。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应急响应期间，各县直部门、镇乡政府、企事业单位要在每天12:00前向县重污染天气应急指挥部办公室报送前一日本单位、本部门应急响应措施的贯彻执行落实情况总结:预警解除后第一天17:00前，将整个预警期间本单位、本部门应急响应措施的贯彻执行落实情况总结报送县重污染天气应急指挥部办公室。县重污染天气应急指挥部办公室负责在预警解除后第二天 17:00前，将全县预警应急工作总结报县领导。</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8"/>
          <w:szCs w:val="28"/>
          <w:lang w:val="en-US" w:eastAsia="zh-CN"/>
        </w:rPr>
      </w:pPr>
      <w:bookmarkStart w:id="56" w:name="_Toc20689"/>
      <w:r>
        <w:rPr>
          <w:rFonts w:hint="eastAsia" w:ascii="Times New Roman" w:hAnsi="Times New Roman" w:eastAsia="宋体" w:cs="Times New Roman"/>
          <w:b/>
          <w:bCs/>
          <w:color w:val="auto"/>
          <w:sz w:val="28"/>
          <w:szCs w:val="28"/>
          <w:lang w:val="en-US" w:eastAsia="zh-CN"/>
        </w:rPr>
        <w:t>4.9信息宣传</w:t>
      </w:r>
      <w:bookmarkEnd w:id="56"/>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抚松县</w:t>
      </w:r>
      <w:r>
        <w:rPr>
          <w:rFonts w:hint="default"/>
          <w:color w:val="auto"/>
          <w:sz w:val="24"/>
          <w:szCs w:val="24"/>
          <w:lang w:val="en-US" w:eastAsia="zh-CN"/>
        </w:rPr>
        <w:t>人民政府加强日常及供暖前等重点时段集中宣传重污染天气应对有关情况，负责预警响应情况宣传，及时发布重污染天气预警信息和应急响应措施，密切关注舆论，积极正面引导舆论，回应社会关切，动员社会参与，为重污染天气应急响应工作营造良好舆论氛围。充分发挥各类媒体的作用，及时通过电视、广播、报纸、网络、手机等渠道发布预警信息，方便公众及时了解重污染天气情况及相关应急措施，避免造成社会民众误解和恐慌，引导公众支持与改善空气质量的行动。</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57" w:name="_Toc10841"/>
      <w:r>
        <w:rPr>
          <w:rFonts w:hint="eastAsia" w:ascii="Times New Roman" w:hAnsi="Times New Roman" w:eastAsia="宋体" w:cs="Times New Roman"/>
          <w:b/>
          <w:bCs/>
          <w:color w:val="auto"/>
          <w:sz w:val="28"/>
          <w:szCs w:val="28"/>
          <w:lang w:val="en-US" w:eastAsia="zh-CN"/>
        </w:rPr>
        <w:t>4.10人员防护及监护措施</w:t>
      </w:r>
      <w:bookmarkEnd w:id="57"/>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（1）应急人员的安全防护</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救援人员应佩戴过滤式防毒面具（半面罩）。紧实事态发生情况下，抢救火车里过程中建议佩戴空气呼吸器。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眼睛防护：一般不需要特殊防护，高浓度接触时可戴化学安全防护眼镜。</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身体防护：穿防毒物渗透工作服。</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健康防护：各企业完善健康防护措施，如严重污染情况下员工休假或弹性工作制度等。</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（2）群众安全防护措施、疏散措施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一般来说，周围群众并不需要特殊防护措施，应急人员在事故现场周围设置安全标志，保持道路畅通，组织群众有序疏散即可。但若发生大量有毒气体泄漏等威胁到周围群众生命安全的事故时，应急人员应根据泄露气体性质指导群众做好基础防吸入措施，并朝逆风方向疏散。</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（3）事件现场保护措施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事故发生后，现场保卫警戒组应立即设立警戒线，封闭现场，禁止一切与救援抢险无关的人员进入事故现场，以免影响应急救援工作的顺利开展，同时有利于保障救援队伍、物质运输和人群疏散等的交通畅通，避免发生不必要的人员中毒或伤亡。同时还要实施交通管制，对危险区外围的交通路口实施定向、定时封锁、严格控制进出事故现场的人员，避免不必要的人员伤亡或引起混乱。</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消防队负责灭火、抢险后的事故现场保护，保护事故现场及相关数据，等待事故调查人员取证。经有关部门确认并同意后方可进行现场清理与洗消。</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32"/>
          <w:szCs w:val="32"/>
          <w:lang w:val="en-US" w:eastAsia="zh-CN"/>
        </w:rPr>
      </w:pPr>
      <w:bookmarkStart w:id="58" w:name="_Toc12969"/>
      <w:r>
        <w:rPr>
          <w:rFonts w:hint="eastAsia" w:cs="Times New Roman"/>
          <w:b/>
          <w:bCs/>
          <w:color w:val="auto"/>
          <w:sz w:val="32"/>
          <w:szCs w:val="32"/>
          <w:lang w:val="en-US" w:eastAsia="zh-CN"/>
        </w:rPr>
        <w:t>5</w:t>
      </w:r>
      <w:r>
        <w:rPr>
          <w:rFonts w:hint="eastAsia" w:ascii="Times New Roman" w:hAnsi="Times New Roman" w:eastAsia="宋体" w:cs="Times New Roman"/>
          <w:b/>
          <w:bCs/>
          <w:color w:val="auto"/>
          <w:sz w:val="32"/>
          <w:szCs w:val="32"/>
          <w:lang w:val="en-US" w:eastAsia="zh-CN"/>
        </w:rPr>
        <w:t xml:space="preserve"> </w:t>
      </w:r>
      <w:r>
        <w:rPr>
          <w:rFonts w:hint="eastAsia" w:cs="Times New Roman"/>
          <w:b/>
          <w:bCs/>
          <w:color w:val="auto"/>
          <w:sz w:val="32"/>
          <w:szCs w:val="32"/>
          <w:lang w:val="en-US" w:eastAsia="zh-CN"/>
        </w:rPr>
        <w:t>总结评估及预防演练</w:t>
      </w:r>
      <w:bookmarkEnd w:id="58"/>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59" w:name="_Toc24815"/>
      <w:r>
        <w:rPr>
          <w:rFonts w:hint="eastAsia" w:ascii="Times New Roman" w:hAnsi="Times New Roman" w:eastAsia="宋体" w:cs="Times New Roman"/>
          <w:b/>
          <w:bCs/>
          <w:color w:val="auto"/>
          <w:sz w:val="28"/>
          <w:szCs w:val="28"/>
          <w:lang w:val="en-US" w:eastAsia="zh-CN"/>
        </w:rPr>
        <w:t>5.1总结评估</w:t>
      </w:r>
      <w:bookmarkEnd w:id="59"/>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应急终止后，抚松县重污染天气应急指挥部办公室负责组织相关部门和技术专家对重污染天气应急工作开展效果做出总结，对预警应急时期的环境空气质量监测数据、污染源监测数据以及气象、经济、能源、生活等各方面数据资料进行统一汇总梳理分析，对应急措施的效果、应急程序的响应、各部门的执行以及可能造成的后续环境影响进行评估预测，检验各项应急措施的实际改善效果，科学评估应急预案的有效性，并针对应急响应中出现的问题和不足，对应急预案做进一步补充完善。</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县级重污染天气发生三级以上响应终止时，应当在</w:t>
      </w:r>
      <w:r>
        <w:rPr>
          <w:rFonts w:hint="default"/>
          <w:b/>
          <w:bCs/>
          <w:color w:val="auto"/>
          <w:sz w:val="24"/>
          <w:szCs w:val="24"/>
          <w:u w:val="single"/>
          <w:lang w:val="en-US" w:eastAsia="zh-CN"/>
        </w:rPr>
        <w:t>2</w:t>
      </w:r>
      <w:r>
        <w:rPr>
          <w:rFonts w:hint="eastAsia"/>
          <w:b/>
          <w:bCs/>
          <w:color w:val="auto"/>
          <w:sz w:val="24"/>
          <w:szCs w:val="24"/>
          <w:u w:val="single"/>
          <w:lang w:val="en-US" w:eastAsia="zh-CN"/>
        </w:rPr>
        <w:t>日内完成重污染天气应对情况总结评估，并上报省应急指挥部。</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b/>
          <w:bCs/>
          <w:color w:val="auto"/>
          <w:sz w:val="24"/>
          <w:szCs w:val="24"/>
          <w:u w:val="single"/>
          <w:lang w:val="en-US" w:eastAsia="zh-CN"/>
        </w:rPr>
      </w:pPr>
      <w:r>
        <w:rPr>
          <w:rFonts w:hint="eastAsia"/>
          <w:b/>
          <w:bCs/>
          <w:color w:val="auto"/>
          <w:sz w:val="24"/>
          <w:szCs w:val="24"/>
          <w:u w:val="single"/>
          <w:lang w:val="en-US" w:eastAsia="zh-CN"/>
        </w:rPr>
        <w:t>抚松县人民政府应当在每年5月份，组织有关部门和专家开展上一年度重污染天气应对工作评估。重点评估应急预案实施情况、应急措施、经济成本和社会效益等方面。进一步完善预案内容、预案可操作性、专项方案的完备性等。并将评估结果及时上报白山市应急指挥部及吉林省应急指挥部。</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60" w:name="_Toc11947"/>
      <w:r>
        <w:rPr>
          <w:rFonts w:hint="eastAsia" w:ascii="Times New Roman" w:hAnsi="Times New Roman" w:eastAsia="宋体" w:cs="Times New Roman"/>
          <w:b/>
          <w:bCs/>
          <w:color w:val="auto"/>
          <w:sz w:val="28"/>
          <w:szCs w:val="28"/>
          <w:lang w:val="en-US" w:eastAsia="zh-CN"/>
        </w:rPr>
        <w:t>5.2预案演练</w:t>
      </w:r>
      <w:bookmarkEnd w:id="60"/>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预案演练由县重污染天气应急指挥部根据天气预测适时组织演练，按照预警等级采取相应的应急响应措施，完成真实应急响应过程，从而检验和提高相关部门、人员的临场组织指挥、队伍调动、应急处置技能等应急能力。</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演练结束后，各参演单位根据演练记录、演练评估报告、应急预案、现场总结等材料，对演练进行系统总结，形成应急演练总结报告。</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对演练暴露出来的不足，采取措施予以改进，完善应急预案、有针对性地加强相关部门及人员的教育和培训。</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5.2.1演练</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（1）</w:t>
      </w:r>
      <w:r>
        <w:rPr>
          <w:rFonts w:hint="default"/>
          <w:color w:val="auto"/>
          <w:sz w:val="24"/>
          <w:szCs w:val="24"/>
          <w:lang w:val="en-US" w:eastAsia="zh-CN"/>
        </w:rPr>
        <w:t>应急机构应定期对机构内成员单位的有关人员进行应急技术培训和考核，并每年进行一次模拟演习，以提高应急队伍的实战能力，并积累经验。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（2）</w:t>
      </w:r>
      <w:r>
        <w:rPr>
          <w:rFonts w:hint="default"/>
          <w:color w:val="auto"/>
          <w:sz w:val="24"/>
          <w:szCs w:val="24"/>
          <w:lang w:val="en-US" w:eastAsia="zh-CN"/>
        </w:rPr>
        <w:t>每次演练</w:t>
      </w:r>
      <w:r>
        <w:rPr>
          <w:rFonts w:hint="eastAsia"/>
          <w:color w:val="auto"/>
          <w:sz w:val="24"/>
          <w:szCs w:val="24"/>
          <w:lang w:val="en-US" w:eastAsia="zh-CN"/>
        </w:rPr>
        <w:t>结束</w:t>
      </w:r>
      <w:r>
        <w:rPr>
          <w:rFonts w:hint="default"/>
          <w:color w:val="auto"/>
          <w:sz w:val="24"/>
          <w:szCs w:val="24"/>
          <w:lang w:val="en-US" w:eastAsia="zh-CN"/>
        </w:rPr>
        <w:t>后，</w:t>
      </w:r>
      <w:r>
        <w:rPr>
          <w:rFonts w:hint="eastAsia"/>
          <w:color w:val="auto"/>
          <w:sz w:val="24"/>
          <w:szCs w:val="24"/>
          <w:lang w:val="en-US" w:eastAsia="zh-CN"/>
        </w:rPr>
        <w:t>县应急指挥部</w:t>
      </w:r>
      <w:r>
        <w:rPr>
          <w:rFonts w:hint="default"/>
          <w:color w:val="auto"/>
          <w:sz w:val="24"/>
          <w:szCs w:val="24"/>
          <w:lang w:val="en-US" w:eastAsia="zh-CN"/>
        </w:rPr>
        <w:t>应核对</w:t>
      </w:r>
      <w:r>
        <w:rPr>
          <w:rFonts w:hint="eastAsia"/>
          <w:color w:val="auto"/>
          <w:sz w:val="24"/>
          <w:szCs w:val="24"/>
          <w:lang w:val="en-US" w:eastAsia="zh-CN"/>
        </w:rPr>
        <w:t>重污染天气应急预案</w:t>
      </w:r>
      <w:r>
        <w:rPr>
          <w:rFonts w:hint="default"/>
          <w:color w:val="auto"/>
          <w:sz w:val="24"/>
          <w:szCs w:val="24"/>
          <w:lang w:val="en-US" w:eastAsia="zh-CN"/>
        </w:rPr>
        <w:t>规定的内容是否都被检查，并找出不足和缺点。检查主要包括下列内容</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①事故期间通讯系统是否能运作</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②人员是否能安全撤离</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③应急服务机构能否及时参与事故抢救</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④能否有效控制事故进一步扩大</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⑤各企业应把在演习中发现的问题及时提出解决方案，对事故应急预案进行修订完善</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⑥</w:t>
      </w:r>
      <w:r>
        <w:rPr>
          <w:rFonts w:hint="eastAsia"/>
          <w:color w:val="auto"/>
          <w:sz w:val="24"/>
          <w:szCs w:val="24"/>
          <w:lang w:val="en-US" w:eastAsia="zh-CN"/>
        </w:rPr>
        <w:t>县人民政府及</w:t>
      </w:r>
      <w:r>
        <w:rPr>
          <w:rFonts w:hint="default"/>
          <w:color w:val="auto"/>
          <w:sz w:val="24"/>
          <w:szCs w:val="24"/>
          <w:lang w:val="en-US" w:eastAsia="zh-CN"/>
        </w:rPr>
        <w:t>各企业应在危险设施和危险源发生变化时及时修改</w:t>
      </w:r>
      <w:r>
        <w:rPr>
          <w:rFonts w:hint="eastAsia"/>
          <w:color w:val="auto"/>
          <w:sz w:val="24"/>
          <w:szCs w:val="24"/>
          <w:lang w:val="en-US" w:eastAsia="zh-CN"/>
        </w:rPr>
        <w:t>重污染天气应急预案</w:t>
      </w:r>
      <w:r>
        <w:rPr>
          <w:rFonts w:hint="default"/>
          <w:color w:val="auto"/>
          <w:sz w:val="24"/>
          <w:szCs w:val="24"/>
          <w:lang w:val="en-US" w:eastAsia="zh-CN"/>
        </w:rPr>
        <w:t>，并把对</w:t>
      </w:r>
      <w:r>
        <w:rPr>
          <w:rFonts w:hint="eastAsia"/>
          <w:color w:val="auto"/>
          <w:sz w:val="24"/>
          <w:szCs w:val="24"/>
          <w:lang w:val="en-US" w:eastAsia="zh-CN"/>
        </w:rPr>
        <w:t>重污染天气应急预案</w:t>
      </w:r>
      <w:r>
        <w:rPr>
          <w:rFonts w:hint="default"/>
          <w:color w:val="auto"/>
          <w:sz w:val="24"/>
          <w:szCs w:val="24"/>
          <w:lang w:val="en-US" w:eastAsia="zh-CN"/>
        </w:rPr>
        <w:t>的修改情况及时通知所有与</w:t>
      </w:r>
      <w:r>
        <w:rPr>
          <w:rFonts w:hint="eastAsia"/>
          <w:color w:val="auto"/>
          <w:sz w:val="24"/>
          <w:szCs w:val="24"/>
          <w:lang w:val="en-US" w:eastAsia="zh-CN"/>
        </w:rPr>
        <w:t>重污染天气应急预案</w:t>
      </w:r>
      <w:r>
        <w:rPr>
          <w:rFonts w:hint="default"/>
          <w:color w:val="auto"/>
          <w:sz w:val="24"/>
          <w:szCs w:val="24"/>
          <w:lang w:val="en-US" w:eastAsia="zh-CN"/>
        </w:rPr>
        <w:t>有关的人员。</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5.2.2演练组织与级别</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（1）</w:t>
      </w:r>
      <w:r>
        <w:rPr>
          <w:rFonts w:hint="default"/>
          <w:color w:val="auto"/>
          <w:sz w:val="24"/>
          <w:szCs w:val="24"/>
          <w:lang w:val="en-US" w:eastAsia="zh-CN"/>
        </w:rPr>
        <w:t>应急演练分为企业内部级、企业与企业级演练和企业配合政府部门演练三级</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（2）</w:t>
      </w:r>
      <w:r>
        <w:rPr>
          <w:rFonts w:hint="default"/>
          <w:color w:val="auto"/>
          <w:sz w:val="24"/>
          <w:szCs w:val="24"/>
          <w:lang w:val="en-US" w:eastAsia="zh-CN"/>
        </w:rPr>
        <w:t>企业内部级的演练由部门负责人</w:t>
      </w:r>
      <w:r>
        <w:rPr>
          <w:rFonts w:hint="eastAsia"/>
          <w:color w:val="auto"/>
          <w:sz w:val="24"/>
          <w:szCs w:val="24"/>
          <w:lang w:val="en-US" w:eastAsia="zh-CN"/>
        </w:rPr>
        <w:t>（</w:t>
      </w:r>
      <w:r>
        <w:rPr>
          <w:rFonts w:hint="default"/>
          <w:color w:val="auto"/>
          <w:sz w:val="24"/>
          <w:szCs w:val="24"/>
          <w:lang w:val="en-US" w:eastAsia="zh-CN"/>
        </w:rPr>
        <w:t>现场指挥</w:t>
      </w:r>
      <w:r>
        <w:rPr>
          <w:rFonts w:hint="eastAsia"/>
          <w:color w:val="auto"/>
          <w:sz w:val="24"/>
          <w:szCs w:val="24"/>
          <w:lang w:val="en-US" w:eastAsia="zh-CN"/>
        </w:rPr>
        <w:t>）</w:t>
      </w:r>
      <w:r>
        <w:rPr>
          <w:rFonts w:hint="default"/>
          <w:color w:val="auto"/>
          <w:sz w:val="24"/>
          <w:szCs w:val="24"/>
          <w:lang w:val="en-US" w:eastAsia="zh-CN"/>
        </w:rPr>
        <w:t>组织进行，公司安全、环保、技术及相关部门派员观摩指导</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（3）</w:t>
      </w:r>
      <w:r>
        <w:rPr>
          <w:rFonts w:hint="default"/>
          <w:color w:val="auto"/>
          <w:sz w:val="24"/>
          <w:szCs w:val="24"/>
          <w:lang w:val="en-US" w:eastAsia="zh-CN"/>
        </w:rPr>
        <w:t>企业与企业级演练由各个企业联动的应急指挥小组组织进行，各相关部门参加</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（4）</w:t>
      </w:r>
      <w:r>
        <w:rPr>
          <w:rFonts w:hint="default"/>
          <w:color w:val="auto"/>
          <w:sz w:val="24"/>
          <w:szCs w:val="24"/>
          <w:lang w:val="en-US" w:eastAsia="zh-CN"/>
        </w:rPr>
        <w:t>企业与政府有关部门的联合演练，由政府有关部门组织进行，公司应急领导小组成员参加，相关部门人员参加配合。</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5.2.3演练频次与范围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（1）</w:t>
      </w:r>
      <w:r>
        <w:rPr>
          <w:rFonts w:hint="default"/>
          <w:color w:val="auto"/>
          <w:sz w:val="24"/>
          <w:szCs w:val="24"/>
          <w:lang w:val="en-US" w:eastAsia="zh-CN"/>
        </w:rPr>
        <w:t>企业内部演练</w:t>
      </w:r>
      <w:r>
        <w:rPr>
          <w:rFonts w:hint="eastAsia"/>
          <w:color w:val="auto"/>
          <w:sz w:val="24"/>
          <w:szCs w:val="24"/>
          <w:lang w:val="en-US" w:eastAsia="zh-CN"/>
        </w:rPr>
        <w:t>（</w:t>
      </w:r>
      <w:r>
        <w:rPr>
          <w:rFonts w:hint="default"/>
          <w:color w:val="auto"/>
          <w:sz w:val="24"/>
          <w:szCs w:val="24"/>
          <w:lang w:val="en-US" w:eastAsia="zh-CN"/>
        </w:rPr>
        <w:t>或训练</w:t>
      </w:r>
      <w:r>
        <w:rPr>
          <w:rFonts w:hint="eastAsia"/>
          <w:color w:val="auto"/>
          <w:sz w:val="24"/>
          <w:szCs w:val="24"/>
          <w:lang w:val="en-US" w:eastAsia="zh-CN"/>
        </w:rPr>
        <w:t>）</w:t>
      </w:r>
      <w:r>
        <w:rPr>
          <w:rFonts w:hint="default"/>
          <w:color w:val="auto"/>
          <w:sz w:val="24"/>
          <w:szCs w:val="24"/>
          <w:lang w:val="en-US" w:eastAsia="zh-CN"/>
        </w:rPr>
        <w:t>以报警、报告程序、现场应急处置、紧急</w:t>
      </w:r>
      <w:r>
        <w:rPr>
          <w:rFonts w:hint="eastAsia"/>
          <w:color w:val="auto"/>
          <w:sz w:val="24"/>
          <w:szCs w:val="24"/>
          <w:lang w:val="en-US" w:eastAsia="zh-CN"/>
        </w:rPr>
        <w:t>疏散</w:t>
      </w:r>
      <w:r>
        <w:rPr>
          <w:rFonts w:hint="default"/>
          <w:color w:val="auto"/>
          <w:sz w:val="24"/>
          <w:szCs w:val="24"/>
          <w:lang w:val="en-US" w:eastAsia="zh-CN"/>
        </w:rPr>
        <w:t>等熟悉应急响应和某项应急功能的单项演练，演练频次每年2次以上</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（2）</w:t>
      </w:r>
      <w:r>
        <w:rPr>
          <w:rFonts w:hint="default"/>
          <w:color w:val="auto"/>
          <w:sz w:val="24"/>
          <w:szCs w:val="24"/>
          <w:lang w:val="en-US" w:eastAsia="zh-CN"/>
        </w:rPr>
        <w:t>企业与企业级演练以多个应急小组之间或某些外部应急组织之间相互协调进行的演练与公司级预案全部或部分功能的综合演练，演练频次每年1次以上</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（3）</w:t>
      </w:r>
      <w:r>
        <w:rPr>
          <w:rFonts w:hint="default"/>
          <w:color w:val="auto"/>
          <w:sz w:val="24"/>
          <w:szCs w:val="24"/>
          <w:lang w:val="en-US" w:eastAsia="zh-CN"/>
        </w:rPr>
        <w:t>企业配合政府有关部门的演练，</w:t>
      </w:r>
      <w:r>
        <w:rPr>
          <w:rFonts w:hint="eastAsia"/>
          <w:color w:val="auto"/>
          <w:sz w:val="24"/>
          <w:szCs w:val="24"/>
          <w:lang w:val="en-US" w:eastAsia="zh-CN"/>
        </w:rPr>
        <w:t>各</w:t>
      </w:r>
      <w:r>
        <w:rPr>
          <w:rFonts w:hint="default"/>
          <w:color w:val="auto"/>
          <w:sz w:val="24"/>
          <w:szCs w:val="24"/>
          <w:lang w:val="en-US" w:eastAsia="zh-CN"/>
        </w:rPr>
        <w:t>公司积极组织参加。</w:t>
      </w:r>
    </w:p>
    <w:p>
      <w:pPr>
        <w:pStyle w:val="4"/>
        <w:spacing w:before="0" w:after="0"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5.2.4演练方案</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县人民政府及相关部门应</w:t>
      </w:r>
      <w:r>
        <w:rPr>
          <w:rFonts w:hint="default"/>
          <w:color w:val="auto"/>
          <w:sz w:val="24"/>
          <w:szCs w:val="24"/>
          <w:lang w:val="en-US" w:eastAsia="zh-CN"/>
        </w:rPr>
        <w:t>定期开展演练，</w:t>
      </w:r>
      <w:r>
        <w:rPr>
          <w:rFonts w:hint="eastAsia"/>
          <w:color w:val="auto"/>
          <w:sz w:val="24"/>
          <w:szCs w:val="24"/>
          <w:lang w:val="en-US" w:eastAsia="zh-CN"/>
        </w:rPr>
        <w:t>演练前应联系</w:t>
      </w:r>
      <w:r>
        <w:rPr>
          <w:rFonts w:hint="default"/>
          <w:color w:val="auto"/>
          <w:sz w:val="24"/>
          <w:szCs w:val="24"/>
          <w:lang w:val="en-US" w:eastAsia="zh-CN"/>
        </w:rPr>
        <w:t>周边居民告知事宜。应急事故演习一年一次，具体方案内容详见下表。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（1）</w:t>
      </w:r>
      <w:r>
        <w:rPr>
          <w:rFonts w:hint="default"/>
          <w:color w:val="auto"/>
          <w:sz w:val="24"/>
          <w:szCs w:val="24"/>
          <w:highlight w:val="none"/>
          <w:lang w:val="en-US" w:eastAsia="zh-CN"/>
        </w:rPr>
        <w:t>演习联动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演练前1-2天，应通过媒体、广播等方式通知重点企业或者需要演习的企业，提前</w:t>
      </w:r>
      <w:r>
        <w:rPr>
          <w:rFonts w:hint="eastAsia"/>
          <w:color w:val="auto"/>
          <w:sz w:val="24"/>
          <w:szCs w:val="24"/>
          <w:highlight w:val="none"/>
          <w:lang w:val="en-US" w:eastAsia="zh-CN"/>
        </w:rPr>
        <w:t>2</w:t>
      </w:r>
      <w:r>
        <w:rPr>
          <w:rFonts w:hint="default"/>
          <w:color w:val="auto"/>
          <w:sz w:val="24"/>
          <w:szCs w:val="24"/>
          <w:highlight w:val="none"/>
          <w:lang w:val="en-US" w:eastAsia="zh-CN"/>
        </w:rPr>
        <w:t>-3天进行信息披露，演习内容通过媒体信息方式告知</w:t>
      </w:r>
      <w:r>
        <w:rPr>
          <w:rFonts w:hint="eastAsia"/>
          <w:color w:val="auto"/>
          <w:sz w:val="24"/>
          <w:szCs w:val="24"/>
          <w:highlight w:val="none"/>
          <w:lang w:val="en-US" w:eastAsia="zh-CN"/>
        </w:rPr>
        <w:t>演练区域附近</w:t>
      </w:r>
      <w:r>
        <w:rPr>
          <w:rFonts w:hint="default"/>
          <w:color w:val="auto"/>
          <w:sz w:val="24"/>
          <w:szCs w:val="24"/>
          <w:highlight w:val="none"/>
          <w:lang w:val="en-US" w:eastAsia="zh-CN"/>
        </w:rPr>
        <w:t>的居民、企业，以免引起不必要的恐慌。尽量协调居民并参与到演习过程中，保障演习的有效性与可行性。</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（2）</w:t>
      </w:r>
      <w:r>
        <w:rPr>
          <w:rFonts w:hint="default"/>
          <w:color w:val="auto"/>
          <w:sz w:val="24"/>
          <w:szCs w:val="24"/>
          <w:highlight w:val="none"/>
          <w:lang w:val="en-US" w:eastAsia="zh-CN"/>
        </w:rPr>
        <w:t>演习准备</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①对</w:t>
      </w:r>
      <w:r>
        <w:rPr>
          <w:rFonts w:hint="eastAsia"/>
          <w:color w:val="auto"/>
          <w:sz w:val="24"/>
          <w:szCs w:val="24"/>
          <w:highlight w:val="none"/>
          <w:lang w:val="en-US" w:eastAsia="zh-CN"/>
        </w:rPr>
        <w:t>应急指挥部相关成员</w:t>
      </w:r>
      <w:r>
        <w:rPr>
          <w:rFonts w:hint="default"/>
          <w:color w:val="auto"/>
          <w:sz w:val="24"/>
          <w:szCs w:val="24"/>
          <w:highlight w:val="none"/>
          <w:lang w:val="en-US" w:eastAsia="zh-CN"/>
        </w:rPr>
        <w:t>进行培训，让其熟悉</w:t>
      </w:r>
      <w:r>
        <w:rPr>
          <w:rFonts w:hint="eastAsia"/>
          <w:color w:val="auto"/>
          <w:sz w:val="24"/>
          <w:szCs w:val="24"/>
          <w:highlight w:val="none"/>
          <w:lang w:val="en-US" w:eastAsia="zh-CN"/>
        </w:rPr>
        <w:t>县重污染天气</w:t>
      </w:r>
      <w:r>
        <w:rPr>
          <w:rFonts w:hint="default"/>
          <w:color w:val="auto"/>
          <w:sz w:val="24"/>
          <w:szCs w:val="24"/>
          <w:highlight w:val="none"/>
          <w:lang w:val="en-US" w:eastAsia="zh-CN"/>
        </w:rPr>
        <w:t>应急预案、演练方案和评价标准</w:t>
      </w:r>
      <w:r>
        <w:rPr>
          <w:rFonts w:hint="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②培训所有参演人员，熟悉并遵守演练现场规则</w:t>
      </w:r>
      <w:r>
        <w:rPr>
          <w:rFonts w:hint="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③采购部门准备好模拟演练响应效果的物品和器材</w:t>
      </w:r>
      <w:r>
        <w:rPr>
          <w:rFonts w:hint="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④演练前，策划人员将通讯录发放给</w:t>
      </w:r>
      <w:r>
        <w:rPr>
          <w:rFonts w:hint="eastAsia"/>
          <w:color w:val="auto"/>
          <w:sz w:val="24"/>
          <w:szCs w:val="24"/>
          <w:highlight w:val="none"/>
          <w:lang w:val="en-US" w:eastAsia="zh-CN"/>
        </w:rPr>
        <w:t>应急指挥部相关成员；</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⑤评价组准备好摄像器材，以便进行拍摄图片及摄像，做好资料搜集和整理。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（3）</w:t>
      </w:r>
      <w:r>
        <w:rPr>
          <w:rFonts w:hint="default"/>
          <w:color w:val="auto"/>
          <w:sz w:val="24"/>
          <w:szCs w:val="24"/>
          <w:highlight w:val="none"/>
          <w:lang w:val="en-US" w:eastAsia="zh-CN"/>
        </w:rPr>
        <w:t>演习内容</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①</w:t>
      </w:r>
      <w:r>
        <w:rPr>
          <w:rFonts w:hint="eastAsia"/>
          <w:color w:val="auto"/>
          <w:sz w:val="24"/>
          <w:szCs w:val="24"/>
          <w:highlight w:val="none"/>
          <w:lang w:val="en-US" w:eastAsia="zh-CN"/>
        </w:rPr>
        <w:t>部门联动及信息传达：演练开始后，展示县应急指挥部各成员单位内信息传达及相应措施启动情况；</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highlight w:val="none"/>
          <w:lang w:val="en-US" w:eastAsia="zh-CN"/>
        </w:rPr>
      </w:pPr>
      <w:r>
        <w:rPr>
          <w:rFonts w:hint="default"/>
          <w:color w:val="auto"/>
          <w:sz w:val="24"/>
          <w:szCs w:val="24"/>
          <w:highlight w:val="none"/>
          <w:lang w:val="en-US" w:eastAsia="zh-CN"/>
        </w:rPr>
        <w:t>②警戒与治安</w:t>
      </w:r>
      <w:r>
        <w:rPr>
          <w:rFonts w:hint="eastAsia"/>
          <w:color w:val="auto"/>
          <w:sz w:val="24"/>
          <w:szCs w:val="24"/>
          <w:highlight w:val="none"/>
          <w:lang w:val="en-US" w:eastAsia="zh-CN"/>
        </w:rPr>
        <w:t>：</w:t>
      </w:r>
      <w:r>
        <w:rPr>
          <w:rFonts w:hint="default"/>
          <w:color w:val="auto"/>
          <w:sz w:val="24"/>
          <w:szCs w:val="24"/>
          <w:highlight w:val="none"/>
          <w:lang w:val="en-US" w:eastAsia="zh-CN"/>
        </w:rPr>
        <w:t>展示维护警戒区域秩序，控制</w:t>
      </w:r>
      <w:r>
        <w:rPr>
          <w:rFonts w:hint="eastAsia"/>
          <w:color w:val="auto"/>
          <w:sz w:val="24"/>
          <w:szCs w:val="24"/>
          <w:highlight w:val="none"/>
          <w:lang w:val="en-US" w:eastAsia="zh-CN"/>
        </w:rPr>
        <w:t>限产限排企业生产情况，主要街道</w:t>
      </w:r>
      <w:r>
        <w:rPr>
          <w:rFonts w:hint="default"/>
          <w:color w:val="auto"/>
          <w:sz w:val="24"/>
          <w:szCs w:val="24"/>
          <w:highlight w:val="none"/>
          <w:lang w:val="en-US" w:eastAsia="zh-CN"/>
        </w:rPr>
        <w:t>交通流量的组织能力和资源，要求</w:t>
      </w:r>
      <w:r>
        <w:rPr>
          <w:rFonts w:hint="eastAsia"/>
          <w:color w:val="auto"/>
          <w:sz w:val="24"/>
          <w:szCs w:val="24"/>
          <w:highlight w:val="none"/>
          <w:lang w:val="en-US" w:eastAsia="zh-CN"/>
        </w:rPr>
        <w:t>各成员部门对</w:t>
      </w:r>
      <w:r>
        <w:rPr>
          <w:rFonts w:hint="default"/>
          <w:color w:val="auto"/>
          <w:sz w:val="24"/>
          <w:szCs w:val="24"/>
          <w:highlight w:val="none"/>
          <w:lang w:val="en-US" w:eastAsia="zh-CN"/>
        </w:rPr>
        <w:t>具备维护治安、控制</w:t>
      </w:r>
      <w:r>
        <w:rPr>
          <w:rFonts w:hint="eastAsia"/>
          <w:color w:val="auto"/>
          <w:sz w:val="24"/>
          <w:szCs w:val="24"/>
          <w:highlight w:val="none"/>
          <w:lang w:val="en-US" w:eastAsia="zh-CN"/>
        </w:rPr>
        <w:t>限产限排企业</w:t>
      </w:r>
      <w:r>
        <w:rPr>
          <w:rFonts w:hint="default"/>
          <w:color w:val="auto"/>
          <w:sz w:val="24"/>
          <w:szCs w:val="24"/>
          <w:highlight w:val="none"/>
          <w:lang w:val="en-US" w:eastAsia="zh-CN"/>
        </w:rPr>
        <w:t>，强调交通</w:t>
      </w:r>
      <w:r>
        <w:rPr>
          <w:rFonts w:hint="eastAsia"/>
          <w:color w:val="auto"/>
          <w:sz w:val="24"/>
          <w:szCs w:val="24"/>
          <w:highlight w:val="none"/>
          <w:lang w:val="en-US" w:eastAsia="zh-CN"/>
        </w:rPr>
        <w:t>管控</w:t>
      </w:r>
      <w:r>
        <w:rPr>
          <w:rFonts w:hint="default"/>
          <w:color w:val="auto"/>
          <w:sz w:val="24"/>
          <w:szCs w:val="24"/>
          <w:highlight w:val="none"/>
          <w:lang w:val="en-US" w:eastAsia="zh-CN"/>
        </w:rPr>
        <w:t>、执法人员配备和路障清理等活动的管理</w:t>
      </w:r>
      <w:r>
        <w:rPr>
          <w:rFonts w:hint="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highlight w:val="yellow"/>
          <w:lang w:val="en-US" w:eastAsia="zh-CN"/>
        </w:rPr>
      </w:pPr>
      <w:r>
        <w:rPr>
          <w:rFonts w:hint="default"/>
          <w:color w:val="auto"/>
          <w:sz w:val="24"/>
          <w:szCs w:val="24"/>
          <w:highlight w:val="none"/>
          <w:lang w:val="en-US" w:eastAsia="zh-CN"/>
        </w:rPr>
        <w:t>③紧急医疗服务</w:t>
      </w:r>
      <w:r>
        <w:rPr>
          <w:rFonts w:hint="eastAsia"/>
          <w:color w:val="auto"/>
          <w:sz w:val="24"/>
          <w:szCs w:val="24"/>
          <w:highlight w:val="none"/>
          <w:lang w:val="en-US" w:eastAsia="zh-CN"/>
        </w:rPr>
        <w:t>：</w:t>
      </w:r>
      <w:r>
        <w:rPr>
          <w:rFonts w:hint="default"/>
          <w:color w:val="auto"/>
          <w:sz w:val="24"/>
          <w:szCs w:val="24"/>
          <w:highlight w:val="none"/>
          <w:lang w:val="en-US" w:eastAsia="zh-CN"/>
        </w:rPr>
        <w:t>展示有关现场急救处置、转运伤员的工作程序，交通工具、设施和服务人员的准备情况，以及医护人员、医疗设施的准备情况，要求应急组织具备将伤病人员运往医疗机构的能力和为伤病人员提供医疗服务的能力</w:t>
      </w:r>
      <w:r>
        <w:rPr>
          <w:rFonts w:hint="eastAsia"/>
          <w:color w:val="auto"/>
          <w:sz w:val="24"/>
          <w:szCs w:val="24"/>
          <w:highlight w:val="none"/>
          <w:lang w:val="en-US" w:eastAsia="zh-CN"/>
        </w:rPr>
        <w:t>。</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32"/>
          <w:szCs w:val="32"/>
          <w:lang w:val="en-US" w:eastAsia="zh-CN"/>
        </w:rPr>
      </w:pPr>
      <w:bookmarkStart w:id="61" w:name="_Toc28988"/>
      <w:r>
        <w:rPr>
          <w:rFonts w:hint="eastAsia" w:cs="Times New Roman"/>
          <w:b/>
          <w:bCs/>
          <w:color w:val="auto"/>
          <w:sz w:val="32"/>
          <w:szCs w:val="32"/>
          <w:lang w:val="en-US" w:eastAsia="zh-CN"/>
        </w:rPr>
        <w:t>6</w:t>
      </w:r>
      <w:r>
        <w:rPr>
          <w:rFonts w:hint="eastAsia" w:ascii="Times New Roman" w:hAnsi="Times New Roman" w:eastAsia="宋体" w:cs="Times New Roman"/>
          <w:b/>
          <w:bCs/>
          <w:color w:val="auto"/>
          <w:sz w:val="32"/>
          <w:szCs w:val="32"/>
          <w:lang w:val="en-US" w:eastAsia="zh-CN"/>
        </w:rPr>
        <w:t xml:space="preserve"> </w:t>
      </w:r>
      <w:r>
        <w:rPr>
          <w:rFonts w:hint="eastAsia" w:cs="Times New Roman"/>
          <w:b/>
          <w:bCs/>
          <w:color w:val="auto"/>
          <w:sz w:val="32"/>
          <w:szCs w:val="32"/>
          <w:lang w:val="en-US" w:eastAsia="zh-CN"/>
        </w:rPr>
        <w:t>应急保障</w:t>
      </w:r>
      <w:bookmarkEnd w:id="61"/>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62" w:name="_Toc17902"/>
      <w:r>
        <w:rPr>
          <w:rFonts w:hint="eastAsia" w:ascii="Times New Roman" w:hAnsi="Times New Roman" w:eastAsia="宋体" w:cs="Times New Roman"/>
          <w:b/>
          <w:bCs/>
          <w:color w:val="auto"/>
          <w:sz w:val="28"/>
          <w:szCs w:val="28"/>
          <w:lang w:val="en-US" w:eastAsia="zh-CN"/>
        </w:rPr>
        <w:t>6.1经费保障</w:t>
      </w:r>
      <w:bookmarkEnd w:id="62"/>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highlight w:val="none"/>
          <w:u w:val="single"/>
          <w:lang w:val="en-US" w:eastAsia="zh-CN"/>
        </w:rPr>
      </w:pPr>
      <w:r>
        <w:rPr>
          <w:rFonts w:hint="default"/>
          <w:b/>
          <w:bCs/>
          <w:color w:val="auto"/>
          <w:sz w:val="24"/>
          <w:szCs w:val="24"/>
          <w:highlight w:val="none"/>
          <w:u w:val="single"/>
          <w:lang w:val="en-US" w:eastAsia="zh-CN"/>
        </w:rPr>
        <w:t>县级环境应急保障资金由县政府通过预备费等渠道解决。日常运作保障资金，包括应急基础数据系统建设及运行、应急技术支持和演习等所需的资金，按规定程序列入部门预算。</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63" w:name="_Toc21405"/>
      <w:r>
        <w:rPr>
          <w:rFonts w:hint="default" w:ascii="Times New Roman" w:hAnsi="Times New Roman" w:eastAsia="宋体" w:cs="Times New Roman"/>
          <w:b/>
          <w:bCs/>
          <w:color w:val="auto"/>
          <w:sz w:val="28"/>
          <w:szCs w:val="28"/>
          <w:lang w:val="en-US" w:eastAsia="zh-CN"/>
        </w:rPr>
        <w:t>6.2</w:t>
      </w:r>
      <w:r>
        <w:rPr>
          <w:rFonts w:hint="eastAsia" w:ascii="Times New Roman" w:hAnsi="Times New Roman" w:eastAsia="宋体" w:cs="Times New Roman"/>
          <w:b/>
          <w:bCs/>
          <w:color w:val="auto"/>
          <w:sz w:val="28"/>
          <w:szCs w:val="28"/>
          <w:lang w:val="en-US" w:eastAsia="zh-CN"/>
        </w:rPr>
        <w:t>物质及能力保障</w:t>
      </w:r>
      <w:bookmarkEnd w:id="63"/>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highlight w:val="none"/>
          <w:u w:val="single"/>
          <w:lang w:val="en-US" w:eastAsia="zh-CN"/>
        </w:rPr>
      </w:pPr>
      <w:r>
        <w:rPr>
          <w:rFonts w:hint="eastAsia"/>
          <w:b/>
          <w:bCs/>
          <w:color w:val="auto"/>
          <w:sz w:val="24"/>
          <w:szCs w:val="24"/>
          <w:highlight w:val="none"/>
          <w:u w:val="single"/>
          <w:lang w:val="en-US" w:eastAsia="zh-CN"/>
        </w:rPr>
        <w:t>抚松县</w:t>
      </w:r>
      <w:r>
        <w:rPr>
          <w:rFonts w:hint="default"/>
          <w:b/>
          <w:bCs/>
          <w:color w:val="auto"/>
          <w:sz w:val="24"/>
          <w:szCs w:val="24"/>
          <w:highlight w:val="none"/>
          <w:u w:val="single"/>
          <w:lang w:val="en-US" w:eastAsia="zh-CN"/>
        </w:rPr>
        <w:t>人民政府及有关部门应制定应对期间应急仪器设备、车辆、人员防护装备调配计划，明确各项应急物资的储备维护主体、种类与数量。</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highlight w:val="none"/>
          <w:u w:val="single"/>
          <w:lang w:val="en-US" w:eastAsia="zh-CN"/>
        </w:rPr>
      </w:pPr>
      <w:r>
        <w:rPr>
          <w:rFonts w:hint="default"/>
          <w:b/>
          <w:bCs/>
          <w:color w:val="auto"/>
          <w:sz w:val="24"/>
          <w:szCs w:val="24"/>
          <w:highlight w:val="none"/>
          <w:u w:val="single"/>
          <w:lang w:val="en-US" w:eastAsia="zh-CN"/>
        </w:rPr>
        <w:t xml:space="preserve">各有关部门应根据各自职能分工，配备种类齐全、数量充足的应急仪器设备、车辆和防护器材等硬件装备，进行日常管理和维护保养，确保重污染天气应对工作顺利开展。 </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color w:val="auto"/>
          <w:sz w:val="24"/>
          <w:szCs w:val="24"/>
          <w:highlight w:val="none"/>
          <w:lang w:val="en-US" w:eastAsia="zh-CN"/>
        </w:rPr>
      </w:pPr>
      <w:r>
        <w:rPr>
          <w:rFonts w:hint="default"/>
          <w:b/>
          <w:bCs/>
          <w:color w:val="auto"/>
          <w:sz w:val="24"/>
          <w:szCs w:val="24"/>
          <w:highlight w:val="none"/>
          <w:u w:val="single"/>
          <w:lang w:val="en-US" w:eastAsia="zh-CN"/>
        </w:rPr>
        <w:t>加强空气质量预测预报能力建设和专业人员配备，完善软硬件配备，建设重污染天气应急管理数据库，加强环境空气质量、气象条件预测预报等相关领域研究。</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64" w:name="_Toc9327"/>
      <w:r>
        <w:rPr>
          <w:rFonts w:hint="eastAsia" w:ascii="Times New Roman" w:hAnsi="Times New Roman" w:eastAsia="宋体" w:cs="Times New Roman"/>
          <w:b/>
          <w:bCs/>
          <w:color w:val="auto"/>
          <w:sz w:val="28"/>
          <w:szCs w:val="28"/>
          <w:lang w:val="en-US" w:eastAsia="zh-CN"/>
        </w:rPr>
        <w:t>6.3</w:t>
      </w:r>
      <w:r>
        <w:rPr>
          <w:rFonts w:hint="default" w:ascii="Times New Roman" w:hAnsi="Times New Roman" w:eastAsia="宋体" w:cs="Times New Roman"/>
          <w:b/>
          <w:bCs/>
          <w:color w:val="auto"/>
          <w:sz w:val="28"/>
          <w:szCs w:val="28"/>
          <w:lang w:val="en-US" w:eastAsia="zh-CN"/>
        </w:rPr>
        <w:t>通信与信息保障</w:t>
      </w:r>
      <w:bookmarkEnd w:id="64"/>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color w:val="auto"/>
          <w:sz w:val="24"/>
          <w:szCs w:val="24"/>
          <w:highlight w:val="none"/>
          <w:lang w:val="en-US" w:eastAsia="zh-CN"/>
        </w:rPr>
      </w:pPr>
      <w:r>
        <w:rPr>
          <w:rFonts w:hint="default"/>
          <w:b/>
          <w:bCs/>
          <w:color w:val="auto"/>
          <w:sz w:val="24"/>
          <w:szCs w:val="24"/>
          <w:highlight w:val="none"/>
          <w:u w:val="single"/>
          <w:lang w:val="en-US" w:eastAsia="zh-CN"/>
        </w:rPr>
        <w:t>抚松县重污染天气应急指挥部与各成员单位之间应建立重污染天气应急值守制度，健全应急人员通信信息库，明确重污染天气应急负责人和联络员，并制定应急信息通信系统及维护方案，保持24小时通信畅通，利用办公电话和网络，实现应急信息快速传输保证应急信息和指令的及时有效传达。</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65" w:name="_Toc11465"/>
      <w:r>
        <w:rPr>
          <w:rFonts w:hint="default" w:ascii="Times New Roman" w:hAnsi="Times New Roman" w:eastAsia="宋体" w:cs="Times New Roman"/>
          <w:b/>
          <w:bCs/>
          <w:color w:val="auto"/>
          <w:sz w:val="28"/>
          <w:szCs w:val="28"/>
          <w:lang w:val="en-US" w:eastAsia="zh-CN"/>
        </w:rPr>
        <w:t>6.</w:t>
      </w:r>
      <w:r>
        <w:rPr>
          <w:rFonts w:hint="eastAsia" w:ascii="Times New Roman" w:hAnsi="Times New Roman" w:eastAsia="宋体" w:cs="Times New Roman"/>
          <w:b/>
          <w:bCs/>
          <w:color w:val="auto"/>
          <w:sz w:val="28"/>
          <w:szCs w:val="28"/>
          <w:lang w:val="en-US" w:eastAsia="zh-CN"/>
        </w:rPr>
        <w:t>4</w:t>
      </w:r>
      <w:r>
        <w:rPr>
          <w:rFonts w:hint="default" w:ascii="Times New Roman" w:hAnsi="Times New Roman" w:eastAsia="宋体" w:cs="Times New Roman"/>
          <w:b/>
          <w:bCs/>
          <w:color w:val="auto"/>
          <w:sz w:val="28"/>
          <w:szCs w:val="28"/>
          <w:lang w:val="en-US" w:eastAsia="zh-CN"/>
        </w:rPr>
        <w:t>人力资源保障</w:t>
      </w:r>
      <w:bookmarkEnd w:id="65"/>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color w:val="auto"/>
          <w:sz w:val="24"/>
          <w:szCs w:val="24"/>
          <w:lang w:val="en-US" w:eastAsia="zh-CN"/>
        </w:rPr>
      </w:pPr>
      <w:r>
        <w:rPr>
          <w:rFonts w:hint="default"/>
          <w:b/>
          <w:bCs/>
          <w:color w:val="auto"/>
          <w:sz w:val="24"/>
          <w:szCs w:val="24"/>
          <w:u w:val="single"/>
          <w:lang w:val="en-US" w:eastAsia="zh-CN"/>
        </w:rPr>
        <w:t>白山市生态环境局抚松县分局负责全县环境监测应急能力保障，县气象局负责全县气象预测预报能力保障，县重污染天气应急指挥部办公室负责专家技术保障，</w:t>
      </w:r>
      <w:r>
        <w:rPr>
          <w:rFonts w:hint="eastAsia"/>
          <w:b/>
          <w:bCs/>
          <w:color w:val="auto"/>
          <w:sz w:val="24"/>
          <w:szCs w:val="24"/>
          <w:u w:val="single"/>
          <w:lang w:val="en-US" w:eastAsia="zh-CN"/>
        </w:rPr>
        <w:t>县卫生健康局</w:t>
      </w:r>
      <w:r>
        <w:rPr>
          <w:rFonts w:hint="default"/>
          <w:b/>
          <w:bCs/>
          <w:color w:val="auto"/>
          <w:sz w:val="24"/>
          <w:szCs w:val="24"/>
          <w:u w:val="single"/>
          <w:lang w:val="en-US" w:eastAsia="zh-CN"/>
        </w:rPr>
        <w:t>负责医护应急保障。</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66" w:name="_Toc10743"/>
      <w:r>
        <w:rPr>
          <w:rFonts w:hint="default" w:ascii="Times New Roman" w:hAnsi="Times New Roman" w:eastAsia="宋体" w:cs="Times New Roman"/>
          <w:b/>
          <w:bCs/>
          <w:color w:val="auto"/>
          <w:sz w:val="28"/>
          <w:szCs w:val="28"/>
          <w:lang w:val="en-US" w:eastAsia="zh-CN"/>
        </w:rPr>
        <w:t>6.</w:t>
      </w:r>
      <w:r>
        <w:rPr>
          <w:rFonts w:hint="eastAsia" w:ascii="Times New Roman" w:hAnsi="Times New Roman" w:eastAsia="宋体" w:cs="Times New Roman"/>
          <w:b/>
          <w:bCs/>
          <w:color w:val="auto"/>
          <w:sz w:val="28"/>
          <w:szCs w:val="28"/>
          <w:lang w:val="en-US" w:eastAsia="zh-CN"/>
        </w:rPr>
        <w:t>5</w:t>
      </w:r>
      <w:r>
        <w:rPr>
          <w:rFonts w:hint="default" w:ascii="Times New Roman" w:hAnsi="Times New Roman" w:eastAsia="宋体" w:cs="Times New Roman"/>
          <w:b/>
          <w:bCs/>
          <w:color w:val="auto"/>
          <w:sz w:val="28"/>
          <w:szCs w:val="28"/>
          <w:lang w:val="en-US" w:eastAsia="zh-CN"/>
        </w:rPr>
        <w:t>监测与预警能力保障</w:t>
      </w:r>
      <w:bookmarkEnd w:id="66"/>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b/>
          <w:bCs/>
          <w:color w:val="auto"/>
          <w:sz w:val="24"/>
          <w:szCs w:val="24"/>
          <w:u w:val="single"/>
          <w:lang w:val="en-US" w:eastAsia="zh-CN"/>
        </w:rPr>
      </w:pPr>
      <w:r>
        <w:rPr>
          <w:rFonts w:hint="default"/>
          <w:b/>
          <w:bCs/>
          <w:color w:val="auto"/>
          <w:sz w:val="24"/>
          <w:szCs w:val="24"/>
          <w:u w:val="single"/>
          <w:lang w:val="en-US" w:eastAsia="zh-CN"/>
        </w:rPr>
        <w:t>白山市生态环境局抚松县分局负责按照国家要求建立健全全县空气质量自动监测网，建立空气质量信息发布平台，与县气象台联合建立环境空气质量预报预警平台，提高预测预警能力。</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color w:val="auto"/>
          <w:sz w:val="24"/>
          <w:szCs w:val="24"/>
          <w:lang w:val="en-US" w:eastAsia="zh-CN"/>
        </w:rPr>
      </w:pPr>
      <w:r>
        <w:rPr>
          <w:rFonts w:hint="eastAsia"/>
          <w:b/>
          <w:bCs/>
          <w:color w:val="auto"/>
          <w:sz w:val="24"/>
          <w:szCs w:val="24"/>
          <w:u w:val="single"/>
          <w:lang w:val="en-US" w:eastAsia="zh-CN"/>
        </w:rPr>
        <w:t>抚松县</w:t>
      </w:r>
      <w:r>
        <w:rPr>
          <w:rFonts w:hint="default"/>
          <w:b/>
          <w:bCs/>
          <w:color w:val="auto"/>
          <w:sz w:val="24"/>
          <w:szCs w:val="24"/>
          <w:u w:val="single"/>
          <w:lang w:val="en-US" w:eastAsia="zh-CN"/>
        </w:rPr>
        <w:t>人民政府及有关部门应制定应对期间应急仪器设备、车辆、人员防护装备调配计划，明确各项应急物资的储备维护主体、种类与数量。各有关部门应根据各自职能分工，配备种类齐全、数量充足的应急仪器设备、车辆和防护器材等硬件装备，进行日常管理和维护保养，确保重污染天气应对工作顺利开展。</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67" w:name="_Toc7086"/>
      <w:r>
        <w:rPr>
          <w:rFonts w:hint="default" w:ascii="Times New Roman" w:hAnsi="Times New Roman" w:eastAsia="宋体" w:cs="Times New Roman"/>
          <w:b/>
          <w:bCs/>
          <w:color w:val="auto"/>
          <w:sz w:val="28"/>
          <w:szCs w:val="28"/>
          <w:lang w:val="en-US" w:eastAsia="zh-CN"/>
        </w:rPr>
        <w:t>6.</w:t>
      </w:r>
      <w:r>
        <w:rPr>
          <w:rFonts w:hint="eastAsia" w:ascii="Times New Roman" w:hAnsi="Times New Roman" w:eastAsia="宋体" w:cs="Times New Roman"/>
          <w:b/>
          <w:bCs/>
          <w:color w:val="auto"/>
          <w:sz w:val="28"/>
          <w:szCs w:val="28"/>
          <w:lang w:val="en-US" w:eastAsia="zh-CN"/>
        </w:rPr>
        <w:t>6</w:t>
      </w:r>
      <w:r>
        <w:rPr>
          <w:rFonts w:hint="default" w:ascii="Times New Roman" w:hAnsi="Times New Roman" w:eastAsia="宋体" w:cs="Times New Roman"/>
          <w:b/>
          <w:bCs/>
          <w:color w:val="auto"/>
          <w:sz w:val="28"/>
          <w:szCs w:val="28"/>
          <w:lang w:val="en-US" w:eastAsia="zh-CN"/>
        </w:rPr>
        <w:t>技术保障</w:t>
      </w:r>
      <w:bookmarkEnd w:id="67"/>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color w:val="auto"/>
          <w:sz w:val="24"/>
          <w:szCs w:val="24"/>
          <w:lang w:val="en-US" w:eastAsia="zh-CN"/>
        </w:rPr>
      </w:pPr>
      <w:r>
        <w:rPr>
          <w:rFonts w:hint="default"/>
          <w:b/>
          <w:bCs/>
          <w:color w:val="auto"/>
          <w:sz w:val="24"/>
          <w:szCs w:val="24"/>
          <w:u w:val="single"/>
          <w:lang w:val="en-US" w:eastAsia="zh-CN"/>
        </w:rPr>
        <w:t>成立抚松县重污染天气监测预警会商专家委员会，建立健全重污染天气会商制度，为重污染天气事件应急处置及善后工作提供科学技术支持，为决策提供科学依据。</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68" w:name="_Toc18164"/>
      <w:r>
        <w:rPr>
          <w:rFonts w:hint="default" w:ascii="Times New Roman" w:hAnsi="Times New Roman" w:eastAsia="宋体" w:cs="Times New Roman"/>
          <w:b/>
          <w:bCs/>
          <w:color w:val="auto"/>
          <w:sz w:val="28"/>
          <w:szCs w:val="28"/>
          <w:lang w:val="en-US" w:eastAsia="zh-CN"/>
        </w:rPr>
        <w:t>6.</w:t>
      </w:r>
      <w:r>
        <w:rPr>
          <w:rFonts w:hint="eastAsia" w:ascii="Times New Roman" w:hAnsi="Times New Roman" w:eastAsia="宋体" w:cs="Times New Roman"/>
          <w:b/>
          <w:bCs/>
          <w:color w:val="auto"/>
          <w:sz w:val="28"/>
          <w:szCs w:val="28"/>
          <w:lang w:val="en-US" w:eastAsia="zh-CN"/>
        </w:rPr>
        <w:t>7</w:t>
      </w:r>
      <w:r>
        <w:rPr>
          <w:rFonts w:hint="default" w:ascii="Times New Roman" w:hAnsi="Times New Roman" w:eastAsia="宋体" w:cs="Times New Roman"/>
          <w:b/>
          <w:bCs/>
          <w:color w:val="auto"/>
          <w:sz w:val="28"/>
          <w:szCs w:val="28"/>
          <w:lang w:val="en-US" w:eastAsia="zh-CN"/>
        </w:rPr>
        <w:t>宣传保障</w:t>
      </w:r>
      <w:bookmarkEnd w:id="68"/>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color w:val="auto"/>
          <w:sz w:val="24"/>
          <w:szCs w:val="24"/>
          <w:lang w:val="en-US" w:eastAsia="zh-CN"/>
        </w:rPr>
      </w:pPr>
      <w:r>
        <w:rPr>
          <w:rFonts w:hint="default"/>
          <w:b/>
          <w:bCs/>
          <w:color w:val="auto"/>
          <w:sz w:val="24"/>
          <w:szCs w:val="24"/>
          <w:u w:val="single"/>
          <w:lang w:val="en-US" w:eastAsia="zh-CN"/>
        </w:rPr>
        <w:t>县委宣传部、县政府门户网站要负责在预案制订和发布过程中，加强宣传教育，争取大多数公众的理解和支持。积极建立公众参与机制，加强舆论宣传，普及相关知识，鼓励公众参与到重污染天气应急工作中，从自身做起，从小事做起，积极监督举报大气污染事件，全社会动员，形成全民共同应对重污染天气的局面。</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69" w:name="_Toc20303"/>
      <w:r>
        <w:rPr>
          <w:rFonts w:hint="default" w:ascii="Times New Roman" w:hAnsi="Times New Roman" w:eastAsia="宋体" w:cs="Times New Roman"/>
          <w:b/>
          <w:bCs/>
          <w:color w:val="auto"/>
          <w:sz w:val="28"/>
          <w:szCs w:val="28"/>
          <w:lang w:val="en-US" w:eastAsia="zh-CN"/>
        </w:rPr>
        <w:t>6.</w:t>
      </w:r>
      <w:r>
        <w:rPr>
          <w:rFonts w:hint="eastAsia" w:ascii="Times New Roman" w:hAnsi="Times New Roman" w:eastAsia="宋体" w:cs="Times New Roman"/>
          <w:b/>
          <w:bCs/>
          <w:color w:val="auto"/>
          <w:sz w:val="28"/>
          <w:szCs w:val="28"/>
          <w:lang w:val="en-US" w:eastAsia="zh-CN"/>
        </w:rPr>
        <w:t>8医疗卫生</w:t>
      </w:r>
      <w:r>
        <w:rPr>
          <w:rFonts w:hint="default" w:ascii="Times New Roman" w:hAnsi="Times New Roman" w:eastAsia="宋体" w:cs="Times New Roman"/>
          <w:b/>
          <w:bCs/>
          <w:color w:val="auto"/>
          <w:sz w:val="28"/>
          <w:szCs w:val="28"/>
          <w:lang w:val="en-US" w:eastAsia="zh-CN"/>
        </w:rPr>
        <w:t>保障</w:t>
      </w:r>
      <w:bookmarkEnd w:id="69"/>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color w:val="auto"/>
          <w:sz w:val="24"/>
          <w:szCs w:val="24"/>
          <w:lang w:val="en-US" w:eastAsia="zh-CN"/>
        </w:rPr>
      </w:pPr>
      <w:r>
        <w:rPr>
          <w:rFonts w:hint="eastAsia"/>
          <w:b/>
          <w:bCs/>
          <w:color w:val="auto"/>
          <w:sz w:val="24"/>
          <w:szCs w:val="24"/>
          <w:u w:val="single"/>
          <w:lang w:val="en-US" w:eastAsia="zh-CN"/>
        </w:rPr>
        <w:t>抚松县</w:t>
      </w:r>
      <w:r>
        <w:rPr>
          <w:rFonts w:hint="default"/>
          <w:b/>
          <w:bCs/>
          <w:color w:val="auto"/>
          <w:sz w:val="24"/>
          <w:szCs w:val="24"/>
          <w:u w:val="single"/>
          <w:lang w:val="en-US" w:eastAsia="zh-CN"/>
        </w:rPr>
        <w:t>人民政府及</w:t>
      </w:r>
      <w:r>
        <w:rPr>
          <w:rFonts w:hint="eastAsia"/>
          <w:b/>
          <w:bCs/>
          <w:color w:val="auto"/>
          <w:sz w:val="24"/>
          <w:szCs w:val="24"/>
          <w:u w:val="single"/>
          <w:lang w:val="en-US" w:eastAsia="zh-CN"/>
        </w:rPr>
        <w:t>县卫生健康局</w:t>
      </w:r>
      <w:r>
        <w:rPr>
          <w:rFonts w:hint="default"/>
          <w:b/>
          <w:bCs/>
          <w:color w:val="auto"/>
          <w:sz w:val="24"/>
          <w:szCs w:val="24"/>
          <w:u w:val="single"/>
          <w:lang w:val="en-US" w:eastAsia="zh-CN"/>
        </w:rPr>
        <w:t>应建立健全重染污天气所致疾病突发事件卫生应急专家库，并按照预案做好患者诊治工作，确保应急状态下相关医务人员及时到位。加强相关医疗物资储备与应急调配机制建设。以易感人群为重点，加强重污染天气健康防护常识宣传教育。</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70" w:name="_Toc13674"/>
      <w:r>
        <w:rPr>
          <w:rFonts w:hint="default" w:ascii="Times New Roman" w:hAnsi="Times New Roman" w:eastAsia="宋体" w:cs="Times New Roman"/>
          <w:b/>
          <w:bCs/>
          <w:color w:val="auto"/>
          <w:sz w:val="28"/>
          <w:szCs w:val="28"/>
          <w:lang w:val="en-US" w:eastAsia="zh-CN"/>
        </w:rPr>
        <w:t>6.</w:t>
      </w:r>
      <w:r>
        <w:rPr>
          <w:rFonts w:hint="eastAsia" w:ascii="Times New Roman" w:hAnsi="Times New Roman" w:eastAsia="宋体" w:cs="Times New Roman"/>
          <w:b/>
          <w:bCs/>
          <w:color w:val="auto"/>
          <w:sz w:val="28"/>
          <w:szCs w:val="28"/>
          <w:lang w:val="en-US" w:eastAsia="zh-CN"/>
        </w:rPr>
        <w:t>9制度</w:t>
      </w:r>
      <w:r>
        <w:rPr>
          <w:rFonts w:hint="default" w:ascii="Times New Roman" w:hAnsi="Times New Roman" w:eastAsia="宋体" w:cs="Times New Roman"/>
          <w:b/>
          <w:bCs/>
          <w:color w:val="auto"/>
          <w:sz w:val="28"/>
          <w:szCs w:val="28"/>
          <w:lang w:val="en-US" w:eastAsia="zh-CN"/>
        </w:rPr>
        <w:t>保障</w:t>
      </w:r>
      <w:bookmarkEnd w:id="70"/>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color w:val="auto"/>
          <w:sz w:val="24"/>
          <w:szCs w:val="24"/>
          <w:lang w:val="en-US" w:eastAsia="zh-CN"/>
        </w:rPr>
      </w:pPr>
      <w:r>
        <w:rPr>
          <w:rFonts w:hint="eastAsia"/>
          <w:b/>
          <w:bCs/>
          <w:color w:val="auto"/>
          <w:sz w:val="24"/>
          <w:szCs w:val="24"/>
          <w:u w:val="single"/>
          <w:lang w:val="en-US" w:eastAsia="zh-CN"/>
        </w:rPr>
        <w:t>县</w:t>
      </w:r>
      <w:r>
        <w:rPr>
          <w:rFonts w:hint="default"/>
          <w:b/>
          <w:bCs/>
          <w:color w:val="auto"/>
          <w:sz w:val="24"/>
          <w:szCs w:val="24"/>
          <w:u w:val="single"/>
          <w:lang w:val="en-US" w:eastAsia="zh-CN"/>
        </w:rPr>
        <w:t>应急指挥部各成员单位应进一步加强重污染天气应对工作制度建设，按照职责分工制定相应的重污染天气应急预案或重污染天气管控方案，重点建立健全工业大气污染源减排、机动车限行、道路和施工工地扬尘管理、社会动员以及监督检查等工作机制。</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32"/>
          <w:szCs w:val="32"/>
          <w:lang w:val="en-US" w:eastAsia="zh-CN"/>
        </w:rPr>
      </w:pPr>
      <w:bookmarkStart w:id="71" w:name="_Toc27780"/>
      <w:r>
        <w:rPr>
          <w:rFonts w:hint="eastAsia" w:cs="Times New Roman"/>
          <w:b/>
          <w:bCs/>
          <w:color w:val="auto"/>
          <w:sz w:val="32"/>
          <w:szCs w:val="32"/>
          <w:lang w:val="en-US" w:eastAsia="zh-CN"/>
        </w:rPr>
        <w:t>7</w:t>
      </w:r>
      <w:r>
        <w:rPr>
          <w:rFonts w:hint="eastAsia" w:ascii="Times New Roman" w:hAnsi="Times New Roman" w:eastAsia="宋体" w:cs="Times New Roman"/>
          <w:b/>
          <w:bCs/>
          <w:color w:val="auto"/>
          <w:sz w:val="32"/>
          <w:szCs w:val="32"/>
          <w:lang w:val="en-US" w:eastAsia="zh-CN"/>
        </w:rPr>
        <w:t xml:space="preserve"> </w:t>
      </w:r>
      <w:r>
        <w:rPr>
          <w:rFonts w:hint="eastAsia" w:cs="Times New Roman"/>
          <w:b/>
          <w:bCs/>
          <w:color w:val="auto"/>
          <w:sz w:val="32"/>
          <w:szCs w:val="32"/>
          <w:lang w:val="en-US" w:eastAsia="zh-CN"/>
        </w:rPr>
        <w:t>附则</w:t>
      </w:r>
      <w:bookmarkEnd w:id="71"/>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72" w:name="_Toc5674"/>
      <w:r>
        <w:rPr>
          <w:rFonts w:hint="eastAsia" w:ascii="Times New Roman" w:hAnsi="Times New Roman" w:eastAsia="宋体" w:cs="Times New Roman"/>
          <w:b/>
          <w:bCs/>
          <w:color w:val="auto"/>
          <w:sz w:val="28"/>
          <w:szCs w:val="28"/>
          <w:lang w:val="en-US" w:eastAsia="zh-CN"/>
        </w:rPr>
        <w:t>7.1预案管理与更新</w:t>
      </w:r>
      <w:bookmarkEnd w:id="72"/>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县</w:t>
      </w:r>
      <w:r>
        <w:rPr>
          <w:rFonts w:hint="default"/>
          <w:color w:val="auto"/>
          <w:sz w:val="24"/>
          <w:szCs w:val="24"/>
          <w:lang w:val="en-US" w:eastAsia="zh-CN"/>
        </w:rPr>
        <w:t>应急指挥部办公室负责本预案的编制、解释和日常管理，并根据全</w:t>
      </w:r>
      <w:r>
        <w:rPr>
          <w:rFonts w:hint="eastAsia"/>
          <w:color w:val="auto"/>
          <w:sz w:val="24"/>
          <w:szCs w:val="24"/>
          <w:lang w:val="en-US" w:eastAsia="zh-CN"/>
        </w:rPr>
        <w:t>县</w:t>
      </w:r>
      <w:r>
        <w:rPr>
          <w:rFonts w:hint="default"/>
          <w:color w:val="auto"/>
          <w:sz w:val="24"/>
          <w:szCs w:val="24"/>
          <w:lang w:val="en-US" w:eastAsia="zh-CN"/>
        </w:rPr>
        <w:t>经济社会发展情况和大气环境安全管理动态，或当本预案所依据的法律、法规、规章、标准等发生重大变化，或指挥部及其职责发生重要调整</w:t>
      </w:r>
      <w:r>
        <w:rPr>
          <w:rFonts w:hint="eastAsia"/>
          <w:color w:val="auto"/>
          <w:sz w:val="24"/>
          <w:szCs w:val="24"/>
          <w:lang w:val="en-US" w:eastAsia="zh-CN"/>
        </w:rPr>
        <w:t>，</w:t>
      </w:r>
      <w:r>
        <w:rPr>
          <w:rFonts w:hint="default"/>
          <w:color w:val="auto"/>
          <w:sz w:val="24"/>
          <w:szCs w:val="24"/>
          <w:lang w:val="en-US" w:eastAsia="zh-CN"/>
        </w:rPr>
        <w:t>或在应对实际中发现重大问题等情况时，及时进行修订。</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预案修订时间为每3年1次，或根据实际需要，由白山市生态环境局抚松县分局提出建议，报县政府应急办批准后修订。</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73" w:name="_Toc19144"/>
      <w:r>
        <w:rPr>
          <w:rFonts w:hint="eastAsia" w:ascii="Times New Roman" w:hAnsi="Times New Roman" w:eastAsia="宋体" w:cs="Times New Roman"/>
          <w:b/>
          <w:bCs/>
          <w:color w:val="auto"/>
          <w:sz w:val="28"/>
          <w:szCs w:val="28"/>
          <w:lang w:val="en-US" w:eastAsia="zh-CN"/>
        </w:rPr>
        <w:t>7.2预案备案</w:t>
      </w:r>
      <w:bookmarkEnd w:id="73"/>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每年9月份，</w:t>
      </w:r>
      <w:r>
        <w:rPr>
          <w:rFonts w:hint="eastAsia"/>
          <w:color w:val="auto"/>
          <w:sz w:val="24"/>
          <w:szCs w:val="24"/>
          <w:lang w:val="en-US" w:eastAsia="zh-CN"/>
        </w:rPr>
        <w:t>抚松县</w:t>
      </w:r>
      <w:r>
        <w:rPr>
          <w:rFonts w:hint="default"/>
          <w:color w:val="auto"/>
          <w:sz w:val="24"/>
          <w:szCs w:val="24"/>
          <w:lang w:val="en-US" w:eastAsia="zh-CN"/>
        </w:rPr>
        <w:t>重污染天气应急预案及应急减排项目清单均要向省应急指挥部办公室备案并向社会公开。预案实施后，</w:t>
      </w:r>
      <w:r>
        <w:rPr>
          <w:rFonts w:hint="eastAsia"/>
          <w:color w:val="auto"/>
          <w:sz w:val="24"/>
          <w:szCs w:val="24"/>
          <w:lang w:val="en-US" w:eastAsia="zh-CN"/>
        </w:rPr>
        <w:t>白山市生态环境局抚松县分局</w:t>
      </w:r>
      <w:r>
        <w:rPr>
          <w:rFonts w:hint="default"/>
          <w:color w:val="auto"/>
          <w:sz w:val="24"/>
          <w:szCs w:val="24"/>
          <w:lang w:val="en-US" w:eastAsia="zh-CN"/>
        </w:rPr>
        <w:t>应会同有关部门组织开展预案的宣传、培训和演练，并根据实际情况，适时组织评估和修订。</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74" w:name="_Toc31978"/>
      <w:r>
        <w:rPr>
          <w:rFonts w:hint="eastAsia" w:ascii="Times New Roman" w:hAnsi="Times New Roman" w:eastAsia="宋体" w:cs="Times New Roman"/>
          <w:b/>
          <w:bCs/>
          <w:color w:val="auto"/>
          <w:sz w:val="28"/>
          <w:szCs w:val="28"/>
          <w:lang w:val="en-US" w:eastAsia="zh-CN"/>
        </w:rPr>
        <w:t>7.3预案培训</w:t>
      </w:r>
      <w:bookmarkEnd w:id="74"/>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预案实施后，</w:t>
      </w:r>
      <w:r>
        <w:rPr>
          <w:rFonts w:hint="eastAsia"/>
          <w:color w:val="auto"/>
          <w:sz w:val="24"/>
          <w:szCs w:val="24"/>
          <w:lang w:val="en-US" w:eastAsia="zh-CN"/>
        </w:rPr>
        <w:t>白山市生态环境局抚松县分局</w:t>
      </w:r>
      <w:r>
        <w:rPr>
          <w:rFonts w:hint="default"/>
          <w:color w:val="auto"/>
          <w:sz w:val="24"/>
          <w:szCs w:val="24"/>
          <w:lang w:val="en-US" w:eastAsia="zh-CN"/>
        </w:rPr>
        <w:t xml:space="preserve">应会同有关部门通过编发培训材料、举办培训班、开展工作研讨等方式，对与应急预案实施密切相关的管理人员、专业救援人员等进行培训。 </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lang w:val="en-US" w:eastAsia="zh-CN"/>
        </w:rPr>
      </w:pPr>
      <w:bookmarkStart w:id="75" w:name="_Toc2177"/>
      <w:r>
        <w:rPr>
          <w:rFonts w:hint="eastAsia" w:ascii="Times New Roman" w:hAnsi="Times New Roman" w:eastAsia="宋体" w:cs="Times New Roman"/>
          <w:b/>
          <w:bCs/>
          <w:color w:val="auto"/>
          <w:sz w:val="28"/>
          <w:szCs w:val="28"/>
          <w:lang w:val="en-US" w:eastAsia="zh-CN"/>
        </w:rPr>
        <w:t>7.4预案宣传</w:t>
      </w:r>
      <w:bookmarkEnd w:id="75"/>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预案实施后，</w:t>
      </w:r>
      <w:r>
        <w:rPr>
          <w:rFonts w:hint="eastAsia"/>
          <w:color w:val="auto"/>
          <w:sz w:val="24"/>
          <w:szCs w:val="24"/>
          <w:lang w:val="en-US" w:eastAsia="zh-CN"/>
        </w:rPr>
        <w:t>白山市生态环境局抚松县分局</w:t>
      </w:r>
      <w:r>
        <w:rPr>
          <w:rFonts w:hint="default"/>
          <w:color w:val="auto"/>
          <w:sz w:val="24"/>
          <w:szCs w:val="24"/>
          <w:lang w:val="en-US" w:eastAsia="zh-CN"/>
        </w:rPr>
        <w:t xml:space="preserve">应会同有关部门充分利用互联网、广播、电视、报刊等多种媒体广泛宣传，制作通俗易懂、好记管用的宣传普及材料，向公众免费发放。 </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8"/>
          <w:szCs w:val="28"/>
          <w:lang w:val="en-US" w:eastAsia="zh-CN"/>
        </w:rPr>
      </w:pPr>
      <w:bookmarkStart w:id="76" w:name="_Toc2549"/>
      <w:r>
        <w:rPr>
          <w:rFonts w:hint="eastAsia" w:ascii="Times New Roman" w:hAnsi="Times New Roman" w:eastAsia="宋体" w:cs="Times New Roman"/>
          <w:b/>
          <w:bCs/>
          <w:color w:val="auto"/>
          <w:sz w:val="28"/>
          <w:szCs w:val="28"/>
          <w:lang w:val="en-US" w:eastAsia="zh-CN"/>
        </w:rPr>
        <w:t>7.5预案解释部门</w:t>
      </w:r>
      <w:bookmarkEnd w:id="76"/>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本预案有白山市生态环境局抚松县分局负责解释、说明。</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8"/>
          <w:szCs w:val="28"/>
          <w:lang w:val="en-US" w:eastAsia="zh-CN"/>
        </w:rPr>
      </w:pPr>
      <w:bookmarkStart w:id="77" w:name="_Toc14940"/>
      <w:r>
        <w:rPr>
          <w:rFonts w:hint="eastAsia" w:ascii="Times New Roman" w:hAnsi="Times New Roman" w:eastAsia="宋体" w:cs="Times New Roman"/>
          <w:b/>
          <w:bCs/>
          <w:color w:val="auto"/>
          <w:sz w:val="28"/>
          <w:szCs w:val="28"/>
          <w:lang w:val="en-US" w:eastAsia="zh-CN"/>
        </w:rPr>
        <w:t>7.6预案实施时间</w:t>
      </w:r>
      <w:bookmarkEnd w:id="77"/>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本预案自印发之日起实施。</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8"/>
          <w:szCs w:val="28"/>
          <w:lang w:val="en-US" w:eastAsia="zh-CN"/>
        </w:rPr>
      </w:pPr>
      <w:bookmarkStart w:id="78" w:name="_Toc26254"/>
      <w:r>
        <w:rPr>
          <w:rFonts w:hint="eastAsia" w:ascii="Times New Roman" w:hAnsi="Times New Roman" w:eastAsia="宋体" w:cs="Times New Roman"/>
          <w:b/>
          <w:bCs/>
          <w:color w:val="auto"/>
          <w:sz w:val="28"/>
          <w:szCs w:val="28"/>
          <w:lang w:val="en-US" w:eastAsia="zh-CN"/>
        </w:rPr>
        <w:t>7.7名词解释</w:t>
      </w:r>
      <w:bookmarkEnd w:id="78"/>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1、AQI：即环境空气质量指数（Air Quality Index，简称AQI），是定量描述空气质量状况的指标。</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2、重污染天气：根据《环境空气质量指数（AQI）技术规定（试行）》（HJ633-2012），至环境空气质量指数（AQI）大于或者等于201，即空气质量达到5及及以上污染程度的大气污染。</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8"/>
          <w:szCs w:val="28"/>
          <w:lang w:val="en-US" w:eastAsia="zh-CN"/>
        </w:rPr>
      </w:pPr>
      <w:bookmarkStart w:id="79" w:name="_Toc22197"/>
      <w:r>
        <w:rPr>
          <w:rFonts w:hint="eastAsia" w:ascii="Times New Roman" w:hAnsi="Times New Roman" w:eastAsia="宋体" w:cs="Times New Roman"/>
          <w:b/>
          <w:bCs/>
          <w:color w:val="auto"/>
          <w:sz w:val="28"/>
          <w:szCs w:val="28"/>
          <w:lang w:val="en-US" w:eastAsia="zh-CN"/>
        </w:rPr>
        <w:t>7.8附件</w:t>
      </w:r>
      <w:bookmarkEnd w:id="79"/>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附件1：抚松县重污染天气应急指挥部成员名单</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附件2：抚松县重污染天气监测预警会商专家委员会成员名单</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附件3：抚松县重污染天气应急成员单位职责分工表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附件4：抚松县重污染天气应急限产、停产企业名单</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附件5：抚松县重污染天气相应程序图</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附件6：抚松县重污染天气监测预警能力表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附件7：抚松县重污染天气应急监测网络分布图</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附件8：抚松县重污染天气应急监督检查表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附件9：抚松县重污染天气事件信息报告表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附件10：抚松县重污染天气应急效果评估表</w:t>
      </w:r>
    </w:p>
    <w:bookmarkEnd w:id="31"/>
    <w:bookmarkEnd w:id="32"/>
    <w:p>
      <w:pPr>
        <w:pStyle w:val="15"/>
        <w:rPr>
          <w:rFonts w:hint="default"/>
          <w:color w:val="auto"/>
          <w:lang w:val="en-US" w:eastAsia="zh-CN"/>
        </w:rPr>
        <w:sectPr>
          <w:footerReference r:id="rId9" w:type="default"/>
          <w:pgSz w:w="11906" w:h="16838"/>
          <w:pgMar w:top="1417" w:right="1797" w:bottom="1417" w:left="1797" w:header="851" w:footer="850" w:gutter="0"/>
          <w:pgBorders>
            <w:top w:val="none" w:sz="0" w:space="0"/>
            <w:left w:val="none" w:sz="0" w:space="0"/>
            <w:bottom w:val="none" w:sz="0" w:space="0"/>
            <w:right w:val="none" w:sz="0" w:space="0"/>
          </w:pgBorders>
          <w:pgNumType w:fmt="decimal" w:start="1"/>
          <w:cols w:space="720" w:num="1"/>
          <w:docGrid w:type="lines" w:linePitch="312" w:charSpace="0"/>
        </w:sectPr>
      </w:pPr>
    </w:p>
    <w:p>
      <w:pPr>
        <w:spacing w:line="360" w:lineRule="auto"/>
        <w:rPr>
          <w:rFonts w:hint="eastAsia"/>
          <w:b/>
          <w:bCs/>
          <w:color w:val="auto"/>
          <w:sz w:val="24"/>
          <w:szCs w:val="24"/>
          <w:lang w:val="en-US" w:eastAsia="zh-CN"/>
        </w:rPr>
      </w:pPr>
      <w:r>
        <w:rPr>
          <w:rFonts w:hint="eastAsia"/>
          <w:b/>
          <w:bCs/>
          <w:color w:val="auto"/>
          <w:sz w:val="24"/>
          <w:szCs w:val="24"/>
          <w:lang w:val="en-US" w:eastAsia="zh-CN"/>
        </w:rPr>
        <w:t>附件1：</w:t>
      </w:r>
    </w:p>
    <w:p>
      <w:pPr>
        <w:jc w:val="center"/>
        <w:rPr>
          <w:rFonts w:hint="eastAsia"/>
          <w:b/>
          <w:bCs/>
          <w:color w:val="auto"/>
          <w:sz w:val="32"/>
          <w:szCs w:val="32"/>
          <w:lang w:val="en-US" w:eastAsia="zh-CN"/>
        </w:rPr>
      </w:pPr>
      <w:r>
        <w:rPr>
          <w:rFonts w:hint="eastAsia"/>
          <w:b/>
          <w:bCs/>
          <w:color w:val="auto"/>
          <w:sz w:val="32"/>
          <w:szCs w:val="32"/>
          <w:lang w:val="en-US" w:eastAsia="zh-CN"/>
        </w:rPr>
        <w:t>抚松县重污染天气应急指挥部成员名单</w:t>
      </w:r>
    </w:p>
    <w:tbl>
      <w:tblPr>
        <w:tblStyle w:val="21"/>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7"/>
        <w:gridCol w:w="1710"/>
        <w:gridCol w:w="1710"/>
        <w:gridCol w:w="1817"/>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12" w:space="0"/>
              <w:left w:val="nil"/>
              <w:bottom w:val="single" w:color="auto" w:sz="4" w:space="0"/>
            </w:tcBorders>
            <w:vAlign w:val="center"/>
          </w:tcPr>
          <w:p>
            <w:pPr>
              <w:jc w:val="center"/>
              <w:rPr>
                <w:rFonts w:hint="default"/>
                <w:b/>
                <w:bCs/>
                <w:color w:val="auto"/>
                <w:sz w:val="24"/>
                <w:szCs w:val="24"/>
                <w:vertAlign w:val="baseline"/>
                <w:lang w:val="en-US" w:eastAsia="zh-CN"/>
              </w:rPr>
            </w:pPr>
            <w:r>
              <w:rPr>
                <w:rFonts w:hint="eastAsia"/>
                <w:b/>
                <w:bCs/>
                <w:color w:val="auto"/>
                <w:sz w:val="24"/>
                <w:szCs w:val="24"/>
                <w:vertAlign w:val="baseline"/>
                <w:lang w:val="en-US" w:eastAsia="zh-CN"/>
              </w:rPr>
              <w:t>部门名称</w:t>
            </w:r>
          </w:p>
        </w:tc>
        <w:tc>
          <w:tcPr>
            <w:tcW w:w="1710" w:type="dxa"/>
            <w:tcBorders>
              <w:top w:val="single" w:color="auto" w:sz="12" w:space="0"/>
              <w:bottom w:val="single" w:color="auto" w:sz="4" w:space="0"/>
            </w:tcBorders>
            <w:vAlign w:val="center"/>
          </w:tcPr>
          <w:p>
            <w:pPr>
              <w:jc w:val="center"/>
              <w:rPr>
                <w:rFonts w:hint="default"/>
                <w:b/>
                <w:bCs/>
                <w:color w:val="auto"/>
                <w:sz w:val="24"/>
                <w:szCs w:val="24"/>
                <w:vertAlign w:val="baseline"/>
                <w:lang w:val="en-US" w:eastAsia="zh-CN"/>
              </w:rPr>
            </w:pPr>
            <w:r>
              <w:rPr>
                <w:rFonts w:hint="eastAsia"/>
                <w:b/>
                <w:bCs/>
                <w:color w:val="auto"/>
                <w:sz w:val="24"/>
                <w:szCs w:val="24"/>
                <w:vertAlign w:val="baseline"/>
                <w:lang w:val="en-US" w:eastAsia="zh-CN"/>
              </w:rPr>
              <w:t>职位</w:t>
            </w:r>
          </w:p>
        </w:tc>
        <w:tc>
          <w:tcPr>
            <w:tcW w:w="1710" w:type="dxa"/>
            <w:tcBorders>
              <w:top w:val="single" w:color="auto" w:sz="12" w:space="0"/>
              <w:bottom w:val="single" w:color="auto" w:sz="4" w:space="0"/>
            </w:tcBorders>
            <w:vAlign w:val="center"/>
          </w:tcPr>
          <w:p>
            <w:pPr>
              <w:jc w:val="center"/>
              <w:rPr>
                <w:rFonts w:hint="default"/>
                <w:b/>
                <w:bCs/>
                <w:color w:val="auto"/>
                <w:sz w:val="24"/>
                <w:szCs w:val="24"/>
                <w:vertAlign w:val="baseline"/>
                <w:lang w:val="en-US" w:eastAsia="zh-CN"/>
              </w:rPr>
            </w:pPr>
            <w:r>
              <w:rPr>
                <w:rFonts w:hint="eastAsia"/>
                <w:b/>
                <w:bCs/>
                <w:color w:val="auto"/>
                <w:sz w:val="24"/>
                <w:szCs w:val="24"/>
                <w:vertAlign w:val="baseline"/>
                <w:lang w:val="en-US" w:eastAsia="zh-CN"/>
              </w:rPr>
              <w:t>负责人</w:t>
            </w:r>
          </w:p>
        </w:tc>
        <w:tc>
          <w:tcPr>
            <w:tcW w:w="1817" w:type="dxa"/>
            <w:tcBorders>
              <w:top w:val="single" w:color="auto" w:sz="12" w:space="0"/>
              <w:bottom w:val="single" w:color="auto" w:sz="4" w:space="0"/>
            </w:tcBorders>
            <w:vAlign w:val="center"/>
          </w:tcPr>
          <w:p>
            <w:pPr>
              <w:jc w:val="center"/>
              <w:rPr>
                <w:rFonts w:hint="default"/>
                <w:b/>
                <w:bCs/>
                <w:color w:val="auto"/>
                <w:sz w:val="24"/>
                <w:szCs w:val="24"/>
                <w:vertAlign w:val="baseline"/>
                <w:lang w:val="en-US" w:eastAsia="zh-CN"/>
              </w:rPr>
            </w:pPr>
            <w:r>
              <w:rPr>
                <w:rFonts w:hint="eastAsia"/>
                <w:b/>
                <w:bCs/>
                <w:color w:val="auto"/>
                <w:sz w:val="24"/>
                <w:szCs w:val="24"/>
                <w:vertAlign w:val="baseline"/>
                <w:lang w:val="en-US" w:eastAsia="zh-CN"/>
              </w:rPr>
              <w:t>办公电话</w:t>
            </w:r>
          </w:p>
        </w:tc>
        <w:tc>
          <w:tcPr>
            <w:tcW w:w="1820" w:type="dxa"/>
            <w:tcBorders>
              <w:top w:val="single" w:color="auto" w:sz="12" w:space="0"/>
              <w:bottom w:val="single" w:color="auto" w:sz="4" w:space="0"/>
              <w:right w:val="nil"/>
            </w:tcBorders>
            <w:vAlign w:val="center"/>
          </w:tcPr>
          <w:p>
            <w:pPr>
              <w:jc w:val="center"/>
              <w:rPr>
                <w:rFonts w:hint="default"/>
                <w:b/>
                <w:bCs/>
                <w:color w:val="auto"/>
                <w:sz w:val="24"/>
                <w:szCs w:val="24"/>
                <w:vertAlign w:val="baseline"/>
                <w:lang w:val="en-US" w:eastAsia="zh-CN"/>
              </w:rPr>
            </w:pPr>
            <w:r>
              <w:rPr>
                <w:rFonts w:hint="eastAsia"/>
                <w:b/>
                <w:bCs/>
                <w:color w:val="auto"/>
                <w:sz w:val="24"/>
                <w:szCs w:val="24"/>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vMerge w:val="restart"/>
            <w:tcBorders>
              <w:top w:val="single" w:color="auto" w:sz="4" w:space="0"/>
              <w:left w:val="nil"/>
              <w:bottom w:val="single" w:color="auto" w:sz="4" w:space="0"/>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抚松县人民政府</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总指挥</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刘怀辉</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6216001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19504346789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vMerge w:val="continue"/>
            <w:tcBorders>
              <w:top w:val="single" w:color="auto" w:sz="4" w:space="0"/>
              <w:left w:val="nil"/>
              <w:bottom w:val="single" w:color="auto" w:sz="4" w:space="0"/>
            </w:tcBorders>
            <w:vAlign w:val="center"/>
          </w:tcPr>
          <w:p>
            <w:pPr>
              <w:jc w:val="center"/>
              <w:rPr>
                <w:rFonts w:hint="default"/>
                <w:b w:val="0"/>
                <w:bCs w:val="0"/>
                <w:color w:val="auto"/>
                <w:sz w:val="24"/>
                <w:szCs w:val="24"/>
                <w:vertAlign w:val="baseline"/>
                <w:lang w:val="en-US" w:eastAsia="zh-CN"/>
              </w:rPr>
            </w:pP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副总指挥</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李树军</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6230200</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13904495586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vMerge w:val="restart"/>
            <w:tcBorders>
              <w:top w:val="single" w:color="auto" w:sz="4" w:space="0"/>
              <w:left w:val="nil"/>
              <w:bottom w:val="single" w:color="auto" w:sz="4" w:space="0"/>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白山市生态环境局抚松县分局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总指挥</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赵大志</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6233081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13624395900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vMerge w:val="continue"/>
            <w:tcBorders>
              <w:top w:val="single" w:color="auto" w:sz="4" w:space="0"/>
              <w:left w:val="nil"/>
              <w:bottom w:val="single" w:color="auto" w:sz="4" w:space="0"/>
            </w:tcBorders>
            <w:vAlign w:val="center"/>
          </w:tcPr>
          <w:p>
            <w:pPr>
              <w:jc w:val="center"/>
              <w:rPr>
                <w:rFonts w:hint="default"/>
                <w:b w:val="0"/>
                <w:bCs w:val="0"/>
                <w:color w:val="auto"/>
                <w:sz w:val="24"/>
                <w:szCs w:val="24"/>
                <w:vertAlign w:val="baseline"/>
                <w:lang w:val="en-US" w:eastAsia="zh-CN"/>
              </w:rPr>
            </w:pP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副总指挥</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丁明海</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6212614</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15694396299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vMerge w:val="continue"/>
            <w:tcBorders>
              <w:top w:val="single" w:color="auto" w:sz="4" w:space="0"/>
              <w:left w:val="nil"/>
              <w:bottom w:val="single" w:color="auto" w:sz="4" w:space="0"/>
            </w:tcBorders>
            <w:vAlign w:val="center"/>
          </w:tcPr>
          <w:p>
            <w:pPr>
              <w:jc w:val="center"/>
              <w:rPr>
                <w:rFonts w:hint="default"/>
                <w:b w:val="0"/>
                <w:bCs w:val="0"/>
                <w:color w:val="auto"/>
                <w:sz w:val="24"/>
                <w:szCs w:val="24"/>
                <w:vertAlign w:val="baseline"/>
                <w:lang w:val="en-US" w:eastAsia="zh-CN"/>
              </w:rPr>
            </w:pP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副总指挥</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白守武</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6229611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15944950999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县委宣传部</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刘贵鹏</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6230242</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15943934588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县卫生健康局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钟继荣</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6211422</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15944948899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县公安局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谭海峰</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6236005</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13943141919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县水利局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徐晓宇</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6213078</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13009076789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县住房和城乡建设局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马德志</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6212425</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15943957077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县气象局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李佳奇</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6230170</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13894073317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县农业农村局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林彦旭</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6858001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17704393311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县林业局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李业军</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6213028</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13664496555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县供电公司</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仇运波</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6231666</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13732853666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县发展和改革局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王伟</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6212735</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15843900997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县商务局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陈  磊</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6230066</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13644390999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县自然资源局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戴  虎</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6213401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13039386899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县财政局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韩加涛</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6258568</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13904499470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highlight w:val="none"/>
                <w:vertAlign w:val="baseline"/>
                <w:lang w:val="en-US" w:eastAsia="zh-CN" w:bidi="ar-SA"/>
              </w:rPr>
            </w:pPr>
            <w:r>
              <w:rPr>
                <w:rFonts w:hint="eastAsia"/>
                <w:b w:val="0"/>
                <w:bCs w:val="0"/>
                <w:color w:val="auto"/>
                <w:sz w:val="24"/>
                <w:szCs w:val="24"/>
                <w:highlight w:val="none"/>
                <w:vertAlign w:val="baseline"/>
                <w:lang w:val="en-US" w:eastAsia="zh-CN"/>
              </w:rPr>
              <w:t>县委组织部</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highlight w:val="none"/>
                <w:vertAlign w:val="baseline"/>
                <w:lang w:val="en-US" w:eastAsia="zh-CN" w:bidi="ar-SA"/>
              </w:rPr>
            </w:pPr>
            <w:r>
              <w:rPr>
                <w:rFonts w:hint="eastAsia"/>
                <w:b w:val="0"/>
                <w:bCs w:val="0"/>
                <w:color w:val="auto"/>
                <w:sz w:val="24"/>
                <w:szCs w:val="24"/>
                <w:highlight w:val="none"/>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安宁</w:t>
            </w:r>
          </w:p>
        </w:tc>
        <w:tc>
          <w:tcPr>
            <w:tcW w:w="1817" w:type="dxa"/>
            <w:tcBorders>
              <w:top w:val="single" w:color="auto" w:sz="4" w:space="0"/>
              <w:bottom w:val="single" w:color="auto" w:sz="4" w:space="0"/>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6212611</w:t>
            </w:r>
          </w:p>
        </w:tc>
        <w:tc>
          <w:tcPr>
            <w:tcW w:w="1820" w:type="dxa"/>
            <w:tcBorders>
              <w:top w:val="single" w:color="auto" w:sz="4" w:space="0"/>
              <w:bottom w:val="single" w:color="auto" w:sz="4" w:space="0"/>
              <w:right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18043908590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县应急管理局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刘茂国</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6230199</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18543908007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工业和信息化局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解相国</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6230278</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15043931188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县交通局</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李振中</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6212510</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18243901234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县消防救援大队</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贾占国</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6239006</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13894062177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县交警大队</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于晓兵</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6860001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18543908060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县教育局</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成员</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张庆利</w:t>
            </w:r>
          </w:p>
        </w:tc>
        <w:tc>
          <w:tcPr>
            <w:tcW w:w="1817"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6212760</w:t>
            </w:r>
          </w:p>
        </w:tc>
        <w:tc>
          <w:tcPr>
            <w:tcW w:w="1820" w:type="dxa"/>
            <w:tcBorders>
              <w:top w:val="single" w:color="auto" w:sz="4" w:space="0"/>
              <w:bottom w:val="single" w:color="auto" w:sz="4" w:space="0"/>
              <w:right w:val="nil"/>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15662968019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县综合执法大队</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成员</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任  飞</w:t>
            </w:r>
          </w:p>
        </w:tc>
        <w:tc>
          <w:tcPr>
            <w:tcW w:w="1817"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6235819</w:t>
            </w:r>
          </w:p>
        </w:tc>
        <w:tc>
          <w:tcPr>
            <w:tcW w:w="1820" w:type="dxa"/>
            <w:tcBorders>
              <w:top w:val="single" w:color="auto" w:sz="4" w:space="0"/>
              <w:bottom w:val="single" w:color="auto" w:sz="4" w:space="0"/>
              <w:right w:val="nil"/>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18043908558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东北街道</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张海波</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6210407</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18904396780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城内街道</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汉景霞</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6210247</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18804397666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城南街道</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赵玲</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6869772</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13943954666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南关街道</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王鑫</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6217776</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13324391880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西关社区</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林佳</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6211245</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13204499210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城北社区</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何昕</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6210864</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18843913999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松江河镇</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宋野平</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6339001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18904498181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抚松镇</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李兆杰</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6212592</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15526929567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泉阳镇</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张加明</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6518189</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13843940013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露水河镇</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李  斌</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6361617</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18643946072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仙人桥镇</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崔洪玉</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6590005</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13943428130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万良镇</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艾  杰</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6816501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18043908520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新屯子镇</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孙元进</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6888001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15143992001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东岗镇</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姜振廷</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6612001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13596786969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漫江镇</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高云海</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6630001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15500498288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北岗镇</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刘风君</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6550001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18604390255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兴参镇</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禚百万</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6862201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15694396377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兴隆乡</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李  聪</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6683001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13894027126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7" w:type="dxa"/>
            <w:tcBorders>
              <w:top w:val="single" w:color="auto" w:sz="4" w:space="0"/>
              <w:left w:val="nil"/>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抽水乡</w:t>
            </w:r>
          </w:p>
        </w:tc>
        <w:tc>
          <w:tcPr>
            <w:tcW w:w="1710" w:type="dxa"/>
            <w:tcBorders>
              <w:top w:val="single" w:color="auto" w:sz="4" w:space="0"/>
              <w:bottom w:val="single" w:color="auto" w:sz="4"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1710"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高月超</w:t>
            </w:r>
          </w:p>
        </w:tc>
        <w:tc>
          <w:tcPr>
            <w:tcW w:w="1817" w:type="dxa"/>
            <w:tcBorders>
              <w:top w:val="single" w:color="auto" w:sz="4" w:space="0"/>
              <w:bottom w:val="single" w:color="auto" w:sz="4"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6887001</w:t>
            </w:r>
          </w:p>
        </w:tc>
        <w:tc>
          <w:tcPr>
            <w:tcW w:w="1820" w:type="dxa"/>
            <w:tcBorders>
              <w:top w:val="single" w:color="auto" w:sz="4" w:space="0"/>
              <w:bottom w:val="single" w:color="auto" w:sz="4"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13894027521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single" w:color="auto" w:sz="12"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沿江乡</w:t>
            </w:r>
          </w:p>
        </w:tc>
        <w:tc>
          <w:tcPr>
            <w:tcW w:w="0" w:type="auto"/>
            <w:tcBorders>
              <w:top w:val="single" w:color="auto" w:sz="4" w:space="0"/>
              <w:bottom w:val="single" w:color="auto" w:sz="12" w:space="0"/>
            </w:tcBorders>
            <w:vAlign w:val="center"/>
          </w:tcPr>
          <w:p>
            <w:pPr>
              <w:jc w:val="center"/>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成员</w:t>
            </w:r>
          </w:p>
        </w:tc>
        <w:tc>
          <w:tcPr>
            <w:tcW w:w="0" w:type="auto"/>
            <w:tcBorders>
              <w:top w:val="single" w:color="auto" w:sz="4" w:space="0"/>
              <w:bottom w:val="single" w:color="auto" w:sz="12"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刘岳东</w:t>
            </w:r>
          </w:p>
        </w:tc>
        <w:tc>
          <w:tcPr>
            <w:tcW w:w="0" w:type="auto"/>
            <w:tcBorders>
              <w:top w:val="single" w:color="auto" w:sz="4" w:space="0"/>
              <w:bottom w:val="single" w:color="auto" w:sz="12" w:space="0"/>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6650001</w:t>
            </w:r>
          </w:p>
        </w:tc>
        <w:tc>
          <w:tcPr>
            <w:tcW w:w="0" w:type="auto"/>
            <w:tcBorders>
              <w:top w:val="single" w:color="auto" w:sz="4" w:space="0"/>
              <w:bottom w:val="single" w:color="auto" w:sz="12" w:space="0"/>
              <w:right w:val="nil"/>
            </w:tcBorders>
            <w:vAlign w:val="center"/>
          </w:tcPr>
          <w:p>
            <w:pPr>
              <w:jc w:val="cente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b w:val="0"/>
                <w:bCs w:val="0"/>
                <w:color w:val="auto"/>
                <w:sz w:val="24"/>
                <w:szCs w:val="24"/>
                <w:vertAlign w:val="baseline"/>
                <w:lang w:val="en-US" w:eastAsia="zh-CN"/>
              </w:rPr>
              <w:t>13596783611</w:t>
            </w:r>
          </w:p>
        </w:tc>
      </w:tr>
    </w:tbl>
    <w:p>
      <w:pPr>
        <w:jc w:val="left"/>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注：为保证应急组在应急情况下仍可以灵活调用，故本项目目前对各部门设置一名负责人，根据突发事件发生时各部门员工实际在岗情况，应急指挥部可进行临时调配替代人员，不特殊指定替代名单。</w:t>
      </w:r>
    </w:p>
    <w:p>
      <w:pPr>
        <w:jc w:val="center"/>
        <w:rPr>
          <w:rFonts w:hint="default"/>
          <w:b/>
          <w:bCs/>
          <w:color w:val="auto"/>
          <w:sz w:val="32"/>
          <w:szCs w:val="32"/>
          <w:lang w:val="en-US" w:eastAsia="zh-CN"/>
        </w:rPr>
      </w:pPr>
    </w:p>
    <w:p>
      <w:pPr>
        <w:jc w:val="center"/>
        <w:rPr>
          <w:rFonts w:hint="default"/>
          <w:b/>
          <w:bCs/>
          <w:color w:val="auto"/>
          <w:sz w:val="32"/>
          <w:szCs w:val="32"/>
          <w:lang w:val="en-US" w:eastAsia="zh-CN"/>
        </w:rPr>
      </w:pPr>
    </w:p>
    <w:p>
      <w:pPr>
        <w:jc w:val="center"/>
        <w:rPr>
          <w:rFonts w:hint="default"/>
          <w:b/>
          <w:bCs/>
          <w:color w:val="auto"/>
          <w:sz w:val="32"/>
          <w:szCs w:val="32"/>
          <w:lang w:val="en-US" w:eastAsia="zh-CN"/>
        </w:rPr>
      </w:pPr>
    </w:p>
    <w:p>
      <w:pPr>
        <w:jc w:val="center"/>
        <w:rPr>
          <w:rFonts w:hint="default"/>
          <w:b/>
          <w:bCs/>
          <w:color w:val="auto"/>
          <w:sz w:val="32"/>
          <w:szCs w:val="32"/>
          <w:lang w:val="en-US" w:eastAsia="zh-CN"/>
        </w:rPr>
      </w:pPr>
    </w:p>
    <w:p>
      <w:pPr>
        <w:jc w:val="center"/>
        <w:rPr>
          <w:rFonts w:hint="default"/>
          <w:b/>
          <w:bCs/>
          <w:color w:val="auto"/>
          <w:sz w:val="32"/>
          <w:szCs w:val="32"/>
          <w:lang w:val="en-US" w:eastAsia="zh-CN"/>
        </w:rPr>
      </w:pPr>
    </w:p>
    <w:p>
      <w:pPr>
        <w:jc w:val="center"/>
        <w:rPr>
          <w:rFonts w:hint="default"/>
          <w:b/>
          <w:bCs/>
          <w:color w:val="auto"/>
          <w:sz w:val="32"/>
          <w:szCs w:val="32"/>
          <w:lang w:val="en-US" w:eastAsia="zh-CN"/>
        </w:rPr>
      </w:pPr>
    </w:p>
    <w:p>
      <w:pPr>
        <w:jc w:val="center"/>
        <w:rPr>
          <w:rFonts w:hint="default"/>
          <w:b/>
          <w:bCs/>
          <w:color w:val="auto"/>
          <w:sz w:val="32"/>
          <w:szCs w:val="32"/>
          <w:lang w:val="en-US" w:eastAsia="zh-CN"/>
        </w:rPr>
        <w:sectPr>
          <w:pgSz w:w="11906" w:h="16838"/>
          <w:pgMar w:top="1417" w:right="1797" w:bottom="1417" w:left="1797" w:header="851" w:footer="850"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rPr>
          <w:rFonts w:hint="eastAsia"/>
          <w:b/>
          <w:bCs/>
          <w:color w:val="auto"/>
          <w:sz w:val="24"/>
          <w:szCs w:val="24"/>
          <w:lang w:val="en-US" w:eastAsia="zh-CN"/>
        </w:rPr>
      </w:pPr>
      <w:r>
        <w:rPr>
          <w:rFonts w:hint="eastAsia"/>
          <w:b/>
          <w:bCs/>
          <w:color w:val="auto"/>
          <w:sz w:val="24"/>
          <w:szCs w:val="24"/>
          <w:lang w:val="en-US" w:eastAsia="zh-CN"/>
        </w:rPr>
        <w:t>附件2：</w:t>
      </w:r>
    </w:p>
    <w:p>
      <w:pPr>
        <w:jc w:val="center"/>
        <w:rPr>
          <w:rFonts w:hint="eastAsia"/>
          <w:b/>
          <w:bCs/>
          <w:color w:val="auto"/>
          <w:sz w:val="32"/>
          <w:szCs w:val="32"/>
          <w:lang w:val="en-US" w:eastAsia="zh-CN"/>
        </w:rPr>
      </w:pPr>
      <w:r>
        <w:rPr>
          <w:rFonts w:hint="eastAsia"/>
          <w:b/>
          <w:bCs/>
          <w:color w:val="auto"/>
          <w:sz w:val="32"/>
          <w:szCs w:val="32"/>
          <w:lang w:val="en-US" w:eastAsia="zh-CN"/>
        </w:rPr>
        <w:t>抚松县重污染天气监测预警会商</w:t>
      </w:r>
    </w:p>
    <w:p>
      <w:pPr>
        <w:jc w:val="center"/>
        <w:rPr>
          <w:rFonts w:hint="eastAsia"/>
          <w:b/>
          <w:bCs/>
          <w:color w:val="auto"/>
          <w:sz w:val="32"/>
          <w:szCs w:val="32"/>
          <w:lang w:val="en-US" w:eastAsia="zh-CN"/>
        </w:rPr>
      </w:pPr>
      <w:r>
        <w:rPr>
          <w:rFonts w:hint="eastAsia"/>
          <w:b/>
          <w:bCs/>
          <w:color w:val="auto"/>
          <w:sz w:val="32"/>
          <w:szCs w:val="32"/>
          <w:lang w:val="en-US" w:eastAsia="zh-CN"/>
        </w:rPr>
        <w:t>专家委员会成员名单</w:t>
      </w:r>
    </w:p>
    <w:tbl>
      <w:tblPr>
        <w:tblStyle w:val="21"/>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4290"/>
        <w:gridCol w:w="1830"/>
        <w:gridCol w:w="20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tcBorders>
              <w:tl2br w:val="nil"/>
              <w:tr2bl w:val="nil"/>
            </w:tcBorders>
            <w:vAlign w:val="top"/>
          </w:tcPr>
          <w:p>
            <w:pPr>
              <w:jc w:val="center"/>
              <w:rPr>
                <w:rFonts w:hint="default"/>
                <w:b/>
                <w:bCs/>
                <w:color w:val="auto"/>
                <w:sz w:val="24"/>
                <w:szCs w:val="24"/>
                <w:u w:val="single"/>
                <w:vertAlign w:val="baseline"/>
                <w:lang w:val="en-US" w:eastAsia="zh-CN"/>
              </w:rPr>
            </w:pPr>
            <w:r>
              <w:rPr>
                <w:rFonts w:hint="eastAsia"/>
                <w:b/>
                <w:bCs/>
                <w:color w:val="auto"/>
                <w:sz w:val="24"/>
                <w:szCs w:val="24"/>
                <w:u w:val="single"/>
                <w:vertAlign w:val="baseline"/>
                <w:lang w:val="en-US" w:eastAsia="zh-CN"/>
              </w:rPr>
              <w:t>姓名</w:t>
            </w:r>
          </w:p>
        </w:tc>
        <w:tc>
          <w:tcPr>
            <w:tcW w:w="4290" w:type="dxa"/>
            <w:tcBorders>
              <w:tl2br w:val="nil"/>
              <w:tr2bl w:val="nil"/>
            </w:tcBorders>
            <w:vAlign w:val="top"/>
          </w:tcPr>
          <w:p>
            <w:pPr>
              <w:jc w:val="center"/>
              <w:rPr>
                <w:rFonts w:hint="default"/>
                <w:b/>
                <w:bCs/>
                <w:color w:val="auto"/>
                <w:sz w:val="24"/>
                <w:szCs w:val="24"/>
                <w:u w:val="single"/>
                <w:vertAlign w:val="baseline"/>
                <w:lang w:val="en-US" w:eastAsia="zh-CN"/>
              </w:rPr>
            </w:pPr>
            <w:r>
              <w:rPr>
                <w:rFonts w:hint="eastAsia"/>
                <w:b/>
                <w:bCs/>
                <w:color w:val="auto"/>
                <w:sz w:val="24"/>
                <w:szCs w:val="24"/>
                <w:u w:val="single"/>
                <w:vertAlign w:val="baseline"/>
                <w:lang w:val="en-US" w:eastAsia="zh-CN"/>
              </w:rPr>
              <w:t>工作单位</w:t>
            </w:r>
          </w:p>
        </w:tc>
        <w:tc>
          <w:tcPr>
            <w:tcW w:w="1830" w:type="dxa"/>
            <w:tcBorders>
              <w:tl2br w:val="nil"/>
              <w:tr2bl w:val="nil"/>
            </w:tcBorders>
            <w:vAlign w:val="top"/>
          </w:tcPr>
          <w:p>
            <w:pPr>
              <w:jc w:val="center"/>
              <w:rPr>
                <w:rFonts w:hint="default"/>
                <w:b/>
                <w:bCs/>
                <w:color w:val="auto"/>
                <w:sz w:val="24"/>
                <w:szCs w:val="24"/>
                <w:u w:val="single"/>
                <w:vertAlign w:val="baseline"/>
                <w:lang w:val="en-US" w:eastAsia="zh-CN"/>
              </w:rPr>
            </w:pPr>
            <w:r>
              <w:rPr>
                <w:rFonts w:hint="eastAsia"/>
                <w:b/>
                <w:bCs/>
                <w:color w:val="auto"/>
                <w:sz w:val="24"/>
                <w:szCs w:val="24"/>
                <w:u w:val="single"/>
                <w:vertAlign w:val="baseline"/>
                <w:lang w:val="en-US" w:eastAsia="zh-CN"/>
              </w:rPr>
              <w:t>专业特长</w:t>
            </w:r>
          </w:p>
        </w:tc>
        <w:tc>
          <w:tcPr>
            <w:tcW w:w="2017" w:type="dxa"/>
            <w:tcBorders>
              <w:tl2br w:val="nil"/>
              <w:tr2bl w:val="nil"/>
            </w:tcBorders>
            <w:vAlign w:val="top"/>
          </w:tcPr>
          <w:p>
            <w:pPr>
              <w:jc w:val="center"/>
              <w:rPr>
                <w:rFonts w:hint="default"/>
                <w:b/>
                <w:bCs/>
                <w:color w:val="auto"/>
                <w:sz w:val="24"/>
                <w:szCs w:val="24"/>
                <w:u w:val="single"/>
                <w:vertAlign w:val="baseline"/>
                <w:lang w:val="en-US" w:eastAsia="zh-CN"/>
              </w:rPr>
            </w:pPr>
            <w:r>
              <w:rPr>
                <w:rFonts w:hint="eastAsia"/>
                <w:b/>
                <w:bCs/>
                <w:color w:val="auto"/>
                <w:sz w:val="24"/>
                <w:szCs w:val="24"/>
                <w:u w:val="single"/>
                <w:vertAlign w:val="baseline"/>
                <w:lang w:val="en-US" w:eastAsia="zh-CN"/>
              </w:rPr>
              <w:t>联系方式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tcBorders>
              <w:tl2br w:val="nil"/>
              <w:tr2bl w:val="nil"/>
            </w:tcBorders>
            <w:vAlign w:val="top"/>
          </w:tcPr>
          <w:p>
            <w:pPr>
              <w:jc w:val="center"/>
              <w:rPr>
                <w:rFonts w:hint="default"/>
                <w:b/>
                <w:bCs/>
                <w:color w:val="auto"/>
                <w:sz w:val="24"/>
                <w:szCs w:val="24"/>
                <w:u w:val="single"/>
                <w:vertAlign w:val="baseline"/>
                <w:lang w:val="en-US" w:eastAsia="zh-CN"/>
              </w:rPr>
            </w:pPr>
            <w:r>
              <w:rPr>
                <w:rFonts w:hint="eastAsia"/>
                <w:b/>
                <w:bCs/>
                <w:color w:val="auto"/>
                <w:sz w:val="24"/>
                <w:szCs w:val="24"/>
                <w:u w:val="single"/>
                <w:vertAlign w:val="baseline"/>
                <w:lang w:val="en-US" w:eastAsia="zh-CN"/>
              </w:rPr>
              <w:t>张传华</w:t>
            </w:r>
          </w:p>
        </w:tc>
        <w:tc>
          <w:tcPr>
            <w:tcW w:w="429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抚松县生态环境监测站</w:t>
            </w:r>
          </w:p>
        </w:tc>
        <w:tc>
          <w:tcPr>
            <w:tcW w:w="183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环境监测</w:t>
            </w:r>
          </w:p>
        </w:tc>
        <w:tc>
          <w:tcPr>
            <w:tcW w:w="2017"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pacing w:val="-3"/>
                <w:sz w:val="24"/>
                <w:szCs w:val="24"/>
                <w:u w:val="single"/>
                <w:lang w:val="en-US" w:eastAsia="zh-CN"/>
              </w:rPr>
              <w:t>13894025686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tcBorders>
              <w:tl2br w:val="nil"/>
              <w:tr2bl w:val="nil"/>
            </w:tcBorders>
            <w:vAlign w:val="top"/>
          </w:tcPr>
          <w:p>
            <w:pPr>
              <w:jc w:val="center"/>
              <w:rPr>
                <w:rFonts w:hint="default"/>
                <w:b/>
                <w:bCs/>
                <w:color w:val="auto"/>
                <w:sz w:val="24"/>
                <w:szCs w:val="24"/>
                <w:u w:val="single"/>
                <w:vertAlign w:val="baseline"/>
                <w:lang w:val="en-US" w:eastAsia="zh-CN"/>
              </w:rPr>
            </w:pPr>
            <w:r>
              <w:rPr>
                <w:rFonts w:hint="eastAsia"/>
                <w:b/>
                <w:bCs/>
                <w:color w:val="auto"/>
                <w:sz w:val="24"/>
                <w:szCs w:val="24"/>
                <w:u w:val="single"/>
                <w:vertAlign w:val="baseline"/>
                <w:lang w:val="en-US" w:eastAsia="zh-CN"/>
              </w:rPr>
              <w:t>郑吉和</w:t>
            </w:r>
          </w:p>
        </w:tc>
        <w:tc>
          <w:tcPr>
            <w:tcW w:w="429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抚松县生态环境监测站</w:t>
            </w:r>
          </w:p>
        </w:tc>
        <w:tc>
          <w:tcPr>
            <w:tcW w:w="183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环境监测</w:t>
            </w:r>
          </w:p>
        </w:tc>
        <w:tc>
          <w:tcPr>
            <w:tcW w:w="2017"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15694396319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tcBorders>
              <w:tl2br w:val="nil"/>
              <w:tr2bl w:val="nil"/>
            </w:tcBorders>
            <w:vAlign w:val="top"/>
          </w:tcPr>
          <w:p>
            <w:pPr>
              <w:jc w:val="center"/>
              <w:rPr>
                <w:rFonts w:hint="default"/>
                <w:b/>
                <w:bCs/>
                <w:color w:val="auto"/>
                <w:sz w:val="24"/>
                <w:szCs w:val="24"/>
                <w:u w:val="single"/>
                <w:vertAlign w:val="baseline"/>
                <w:lang w:val="en-US" w:eastAsia="zh-CN"/>
              </w:rPr>
            </w:pPr>
            <w:r>
              <w:rPr>
                <w:rFonts w:hint="eastAsia"/>
                <w:b/>
                <w:bCs/>
                <w:color w:val="auto"/>
                <w:sz w:val="24"/>
                <w:szCs w:val="24"/>
                <w:u w:val="single"/>
                <w:vertAlign w:val="baseline"/>
                <w:lang w:val="en-US" w:eastAsia="zh-CN"/>
              </w:rPr>
              <w:t>张旭利</w:t>
            </w:r>
          </w:p>
        </w:tc>
        <w:tc>
          <w:tcPr>
            <w:tcW w:w="429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抚松县生态环境监测站</w:t>
            </w:r>
          </w:p>
        </w:tc>
        <w:tc>
          <w:tcPr>
            <w:tcW w:w="183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环境监测</w:t>
            </w:r>
          </w:p>
        </w:tc>
        <w:tc>
          <w:tcPr>
            <w:tcW w:w="2017"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15143972558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tcBorders>
              <w:tl2br w:val="nil"/>
              <w:tr2bl w:val="nil"/>
            </w:tcBorders>
            <w:vAlign w:val="top"/>
          </w:tcPr>
          <w:p>
            <w:pPr>
              <w:jc w:val="center"/>
              <w:rPr>
                <w:rFonts w:hint="default"/>
                <w:b/>
                <w:bCs/>
                <w:color w:val="auto"/>
                <w:sz w:val="24"/>
                <w:szCs w:val="24"/>
                <w:u w:val="single"/>
                <w:vertAlign w:val="baseline"/>
                <w:lang w:val="en-US" w:eastAsia="zh-CN"/>
              </w:rPr>
            </w:pPr>
            <w:r>
              <w:rPr>
                <w:rFonts w:hint="eastAsia"/>
                <w:b/>
                <w:bCs/>
                <w:color w:val="auto"/>
                <w:sz w:val="24"/>
                <w:szCs w:val="24"/>
                <w:u w:val="single"/>
                <w:vertAlign w:val="baseline"/>
                <w:lang w:val="en-US" w:eastAsia="zh-CN"/>
              </w:rPr>
              <w:t>白守武</w:t>
            </w:r>
          </w:p>
        </w:tc>
        <w:tc>
          <w:tcPr>
            <w:tcW w:w="429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抚松县生态环境保护综合执法大队</w:t>
            </w:r>
          </w:p>
        </w:tc>
        <w:tc>
          <w:tcPr>
            <w:tcW w:w="183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环境监察</w:t>
            </w:r>
          </w:p>
        </w:tc>
        <w:tc>
          <w:tcPr>
            <w:tcW w:w="2017"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15944950999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7"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孙福成</w:t>
            </w:r>
          </w:p>
        </w:tc>
        <w:tc>
          <w:tcPr>
            <w:tcW w:w="429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抚松县生态环境保护综合执法大队</w:t>
            </w:r>
          </w:p>
        </w:tc>
        <w:tc>
          <w:tcPr>
            <w:tcW w:w="183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环境监察</w:t>
            </w:r>
          </w:p>
        </w:tc>
        <w:tc>
          <w:tcPr>
            <w:tcW w:w="2017"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15694396373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王涛</w:t>
            </w:r>
          </w:p>
        </w:tc>
        <w:tc>
          <w:tcPr>
            <w:tcW w:w="429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白山市生态环境局抚松县分局法规科</w:t>
            </w:r>
          </w:p>
        </w:tc>
        <w:tc>
          <w:tcPr>
            <w:tcW w:w="183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环境法律法规</w:t>
            </w:r>
          </w:p>
        </w:tc>
        <w:tc>
          <w:tcPr>
            <w:tcW w:w="2017"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15844940998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tcBorders>
              <w:tl2br w:val="nil"/>
              <w:tr2bl w:val="nil"/>
            </w:tcBorders>
            <w:vAlign w:val="top"/>
          </w:tcPr>
          <w:p>
            <w:pPr>
              <w:jc w:val="center"/>
              <w:rPr>
                <w:rFonts w:hint="default"/>
                <w:b/>
                <w:bCs/>
                <w:color w:val="auto"/>
                <w:sz w:val="24"/>
                <w:szCs w:val="24"/>
                <w:u w:val="single"/>
                <w:vertAlign w:val="baseline"/>
                <w:lang w:val="en-US" w:eastAsia="zh-CN"/>
              </w:rPr>
            </w:pPr>
            <w:r>
              <w:rPr>
                <w:rFonts w:hint="eastAsia"/>
                <w:b/>
                <w:bCs/>
                <w:color w:val="auto"/>
                <w:sz w:val="24"/>
                <w:szCs w:val="24"/>
                <w:u w:val="single"/>
                <w:vertAlign w:val="baseline"/>
                <w:lang w:val="en-US" w:eastAsia="zh-CN"/>
              </w:rPr>
              <w:t>杜明昊</w:t>
            </w:r>
          </w:p>
        </w:tc>
        <w:tc>
          <w:tcPr>
            <w:tcW w:w="429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白山市生态环境局抚松县分局生态科</w:t>
            </w:r>
          </w:p>
        </w:tc>
        <w:tc>
          <w:tcPr>
            <w:tcW w:w="1830"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环境生态</w:t>
            </w:r>
          </w:p>
        </w:tc>
        <w:tc>
          <w:tcPr>
            <w:tcW w:w="2017" w:type="dxa"/>
            <w:tcBorders>
              <w:tl2br w:val="nil"/>
              <w:tr2bl w:val="nil"/>
            </w:tcBorders>
            <w:vAlign w:val="top"/>
          </w:tcPr>
          <w:p>
            <w:pPr>
              <w:jc w:val="center"/>
              <w:rPr>
                <w:rFonts w:hint="default" w:ascii="Times New Roman" w:hAnsi="Times New Roman" w:eastAsia="宋体" w:cs="Times New Roman"/>
                <w:b/>
                <w:bCs/>
                <w:color w:val="auto"/>
                <w:kern w:val="2"/>
                <w:sz w:val="24"/>
                <w:szCs w:val="24"/>
                <w:u w:val="single"/>
                <w:vertAlign w:val="baseline"/>
                <w:lang w:val="en-US" w:eastAsia="zh-CN" w:bidi="ar-SA"/>
              </w:rPr>
            </w:pPr>
            <w:r>
              <w:rPr>
                <w:rFonts w:hint="eastAsia"/>
                <w:b/>
                <w:bCs/>
                <w:color w:val="auto"/>
                <w:sz w:val="24"/>
                <w:szCs w:val="24"/>
                <w:u w:val="single"/>
                <w:vertAlign w:val="baseline"/>
                <w:lang w:val="en-US" w:eastAsia="zh-CN"/>
              </w:rPr>
              <w:t>15143909789</w:t>
            </w:r>
          </w:p>
        </w:tc>
      </w:tr>
    </w:tbl>
    <w:p>
      <w:pPr>
        <w:jc w:val="left"/>
        <w:rPr>
          <w:rFonts w:hint="eastAsia"/>
          <w:b/>
          <w:bCs/>
          <w:color w:val="auto"/>
          <w:sz w:val="22"/>
          <w:szCs w:val="22"/>
          <w:vertAlign w:val="baseline"/>
          <w:lang w:val="en-US" w:eastAsia="zh-CN"/>
        </w:rPr>
      </w:pPr>
      <w:r>
        <w:rPr>
          <w:rFonts w:hint="eastAsia"/>
          <w:b/>
          <w:bCs/>
          <w:color w:val="auto"/>
          <w:sz w:val="22"/>
          <w:szCs w:val="22"/>
          <w:vertAlign w:val="baseline"/>
          <w:lang w:val="en-US" w:eastAsia="zh-CN"/>
        </w:rPr>
        <w:t>注：专家委员会人数超过半数即可召开专家委员会会议，并形成专家委员会意见。</w:t>
      </w:r>
    </w:p>
    <w:p>
      <w:pPr>
        <w:jc w:val="left"/>
        <w:rPr>
          <w:rFonts w:hint="eastAsia"/>
          <w:b/>
          <w:bCs/>
          <w:color w:val="auto"/>
          <w:sz w:val="22"/>
          <w:szCs w:val="22"/>
          <w:vertAlign w:val="baseline"/>
          <w:lang w:val="en-US" w:eastAsia="zh-CN"/>
        </w:rPr>
      </w:pPr>
    </w:p>
    <w:p>
      <w:pPr>
        <w:jc w:val="left"/>
        <w:rPr>
          <w:rFonts w:hint="eastAsia"/>
          <w:b/>
          <w:bCs/>
          <w:color w:val="auto"/>
          <w:sz w:val="22"/>
          <w:szCs w:val="22"/>
          <w:vertAlign w:val="baseline"/>
          <w:lang w:val="en-US" w:eastAsia="zh-CN"/>
        </w:rPr>
      </w:pPr>
    </w:p>
    <w:p>
      <w:pPr>
        <w:jc w:val="left"/>
        <w:rPr>
          <w:rFonts w:hint="eastAsia"/>
          <w:b/>
          <w:bCs/>
          <w:color w:val="auto"/>
          <w:sz w:val="22"/>
          <w:szCs w:val="22"/>
          <w:vertAlign w:val="baseline"/>
          <w:lang w:val="en-US" w:eastAsia="zh-CN"/>
        </w:rPr>
      </w:pPr>
    </w:p>
    <w:p>
      <w:pPr>
        <w:jc w:val="left"/>
        <w:rPr>
          <w:rFonts w:hint="eastAsia"/>
          <w:b/>
          <w:bCs/>
          <w:color w:val="auto"/>
          <w:sz w:val="22"/>
          <w:szCs w:val="22"/>
          <w:vertAlign w:val="baseline"/>
          <w:lang w:val="en-US" w:eastAsia="zh-CN"/>
        </w:rPr>
      </w:pPr>
    </w:p>
    <w:p>
      <w:pPr>
        <w:jc w:val="left"/>
        <w:rPr>
          <w:rFonts w:hint="eastAsia"/>
          <w:b/>
          <w:bCs/>
          <w:color w:val="auto"/>
          <w:sz w:val="22"/>
          <w:szCs w:val="22"/>
          <w:vertAlign w:val="baseline"/>
          <w:lang w:val="en-US" w:eastAsia="zh-CN"/>
        </w:rPr>
      </w:pPr>
    </w:p>
    <w:p>
      <w:pPr>
        <w:jc w:val="left"/>
        <w:rPr>
          <w:rFonts w:hint="eastAsia"/>
          <w:b/>
          <w:bCs/>
          <w:color w:val="auto"/>
          <w:sz w:val="22"/>
          <w:szCs w:val="22"/>
          <w:vertAlign w:val="baseline"/>
          <w:lang w:val="en-US" w:eastAsia="zh-CN"/>
        </w:rPr>
        <w:sectPr>
          <w:pgSz w:w="11906" w:h="16838"/>
          <w:pgMar w:top="1417" w:right="1797" w:bottom="1417" w:left="1797" w:header="851" w:footer="850"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rPr>
          <w:rFonts w:hint="eastAsia"/>
          <w:b/>
          <w:bCs/>
          <w:color w:val="auto"/>
          <w:sz w:val="24"/>
          <w:szCs w:val="24"/>
          <w:lang w:val="en-US" w:eastAsia="zh-CN"/>
        </w:rPr>
      </w:pPr>
      <w:r>
        <w:rPr>
          <w:rFonts w:hint="eastAsia"/>
          <w:b/>
          <w:bCs/>
          <w:color w:val="auto"/>
          <w:sz w:val="24"/>
          <w:szCs w:val="24"/>
          <w:lang w:val="en-US" w:eastAsia="zh-CN"/>
        </w:rPr>
        <w:t>附件3：</w:t>
      </w:r>
    </w:p>
    <w:p>
      <w:pPr>
        <w:jc w:val="center"/>
        <w:rPr>
          <w:rFonts w:hint="eastAsia"/>
          <w:b/>
          <w:bCs/>
          <w:color w:val="auto"/>
          <w:sz w:val="32"/>
          <w:szCs w:val="32"/>
          <w:lang w:val="en-US" w:eastAsia="zh-CN"/>
        </w:rPr>
      </w:pPr>
      <w:r>
        <w:rPr>
          <w:rFonts w:hint="eastAsia"/>
          <w:b/>
          <w:bCs/>
          <w:color w:val="auto"/>
          <w:sz w:val="32"/>
          <w:szCs w:val="32"/>
          <w:lang w:val="en-US" w:eastAsia="zh-CN"/>
        </w:rPr>
        <w:t>抚松县重污染天气应急成员职责分工表</w:t>
      </w:r>
    </w:p>
    <w:tbl>
      <w:tblPr>
        <w:tblStyle w:val="21"/>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2020"/>
        <w:gridCol w:w="4790"/>
        <w:gridCol w:w="17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序号</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单位</w:t>
            </w:r>
          </w:p>
        </w:tc>
        <w:tc>
          <w:tcPr>
            <w:tcW w:w="479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职责分工</w:t>
            </w:r>
          </w:p>
        </w:tc>
        <w:tc>
          <w:tcPr>
            <w:tcW w:w="174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涉及预警级别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抚松县重污染天气应急指挥部</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eastAsia"/>
                <w:b/>
                <w:bCs/>
                <w:color w:val="auto"/>
                <w:sz w:val="24"/>
                <w:szCs w:val="24"/>
                <w:u w:val="single"/>
                <w:vertAlign w:val="baseline"/>
                <w:lang w:val="en-US" w:eastAsia="zh-CN"/>
              </w:rPr>
              <w:t>总体负责全县重污染天气的应急工作</w:t>
            </w:r>
          </w:p>
        </w:tc>
        <w:tc>
          <w:tcPr>
            <w:tcW w:w="174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2</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抚松县重污染天气应急指挥部办公室</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eastAsia"/>
                <w:b/>
                <w:bCs/>
                <w:color w:val="auto"/>
                <w:sz w:val="24"/>
                <w:szCs w:val="24"/>
                <w:u w:val="single"/>
                <w:vertAlign w:val="baseline"/>
                <w:lang w:val="en-US" w:eastAsia="zh-CN"/>
              </w:rPr>
              <w:t>定期组织应急演习、人员培训和宣传教育工作，及时向应急指挥部报告有关信息，传达应急指挥部的相关指示和要求，并完成应急指挥部交办的其他工作。负责指挥、协调重污染天气应急的事前预防预警、事中相应应对和时候评估管理。</w:t>
            </w:r>
          </w:p>
        </w:tc>
        <w:tc>
          <w:tcPr>
            <w:tcW w:w="174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3</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各乡镇政府</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eastAsia"/>
                <w:b/>
                <w:bCs/>
                <w:color w:val="auto"/>
                <w:spacing w:val="-6"/>
                <w:sz w:val="24"/>
                <w:szCs w:val="24"/>
                <w:u w:val="single"/>
                <w:vertAlign w:val="baseline"/>
                <w:lang w:val="en-US" w:eastAsia="zh-CN"/>
              </w:rPr>
              <w:t>整体负责当地重污染天气应急工作。编制本地重污染天气应急预案，并向县重污染天气应急指挥部办公室备案。各镇、乡政府必须与县政府签订大气污染防治目标责任书，按照县应急预案要求，执行相应的应急响应措施。</w:t>
            </w:r>
          </w:p>
        </w:tc>
        <w:tc>
          <w:tcPr>
            <w:tcW w:w="174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4</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县应急管理局</w:t>
            </w:r>
          </w:p>
        </w:tc>
        <w:tc>
          <w:tcPr>
            <w:tcW w:w="4790" w:type="dxa"/>
            <w:tcBorders>
              <w:tl2br w:val="nil"/>
              <w:tr2bl w:val="nil"/>
            </w:tcBorders>
            <w:vAlign w:val="center"/>
          </w:tcPr>
          <w:p>
            <w:pPr>
              <w:keepNext w:val="0"/>
              <w:keepLines w:val="0"/>
              <w:widowControl/>
              <w:suppressLineNumbers w:val="0"/>
              <w:jc w:val="center"/>
              <w:rPr>
                <w:rFonts w:hint="default"/>
                <w:b/>
                <w:bCs/>
                <w:color w:val="auto"/>
                <w:sz w:val="24"/>
                <w:szCs w:val="24"/>
                <w:u w:val="single"/>
                <w:vertAlign w:val="baseline"/>
                <w:lang w:val="en-US" w:eastAsia="zh-CN"/>
              </w:rPr>
            </w:pPr>
            <w:r>
              <w:rPr>
                <w:rFonts w:hint="eastAsia"/>
                <w:b/>
                <w:bCs/>
                <w:color w:val="auto"/>
                <w:sz w:val="24"/>
                <w:szCs w:val="24"/>
                <w:u w:val="single"/>
                <w:lang w:val="en-US" w:eastAsia="zh-CN"/>
              </w:rPr>
              <w:t>负责协调指导重污染天气相关生产安全事故应急处置工作。</w:t>
            </w:r>
          </w:p>
        </w:tc>
        <w:tc>
          <w:tcPr>
            <w:tcW w:w="174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5</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白山市生态环境局抚松县分局</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eastAsia"/>
                <w:b/>
                <w:bCs/>
                <w:color w:val="auto"/>
                <w:sz w:val="24"/>
                <w:szCs w:val="24"/>
                <w:u w:val="single"/>
                <w:vertAlign w:val="baseline"/>
                <w:lang w:val="en-US" w:eastAsia="zh-CN"/>
              </w:rPr>
              <w:t>负责本县空气质量日常监测和应急监测，与县气象局对重污染天气状况进行会商，提供预测预警信息。根据不同预警等级增加环境执法检查频次，监督重点大气污染排放企业污染防治设施正常运转和达标排放，督导秸秆禁烧。配合县工业和信息化局等部门监督大气污染物排放工业企业停产限产措施的落实，编制本部门应急实施方案。</w:t>
            </w:r>
          </w:p>
        </w:tc>
        <w:tc>
          <w:tcPr>
            <w:tcW w:w="174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6</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县气象局</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负责及时向公众发布气象预报和城市环境气象警报，并根据天气变化情况及时补充或修正</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向指挥部及相关部门提供气象监测预报信息</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与县白山市生态环境局抚松县分局</w:t>
            </w:r>
          </w:p>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共同开展空气质量测、预报和会商工作，联合提供预测预警信息。具备人工雨</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雪</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的气象条件时，实施人工增雨</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雪</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作业。编制本部门应急实施方案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7</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县委组织部</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w:t>
            </w:r>
            <w:r>
              <w:rPr>
                <w:rFonts w:hint="eastAsia"/>
                <w:b/>
                <w:bCs/>
                <w:color w:val="auto"/>
                <w:sz w:val="24"/>
                <w:szCs w:val="24"/>
                <w:u w:val="single"/>
                <w:lang w:val="en-US" w:eastAsia="zh-CN"/>
              </w:rPr>
              <w:t>重污染天气应对工作情况作为领导班子和领导干部综合考核评价的重要依据</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8</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县委宣传部、县政府门户网站</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负责指导预警、响应等信息的发布，正确引导舆论，编制本部门应急实施方案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9</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县发展和改革局</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负责推进产业结构、能源结构的调整优化，发展生物质产业。按照限产停产企业名单，在不同预警等级时督导电力</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包括热电</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企业落实相应停产、限产措施，本部门应急实施方案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10</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县工业和信息化局</w:t>
            </w:r>
          </w:p>
        </w:tc>
        <w:tc>
          <w:tcPr>
            <w:tcW w:w="4790" w:type="dxa"/>
            <w:tcBorders>
              <w:tl2br w:val="nil"/>
              <w:tr2bl w:val="nil"/>
            </w:tcBorders>
            <w:vAlign w:val="center"/>
          </w:tcPr>
          <w:p>
            <w:pPr>
              <w:keepNext w:val="0"/>
              <w:keepLines w:val="0"/>
              <w:widowControl/>
              <w:suppressLineNumbers w:val="0"/>
              <w:jc w:val="left"/>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负责配合生态环境等相关部门对重点工业企业进行督导检查</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组织制定非电力行业大气污染物排放重点工业企业限产、停产专项方案，并督促落实</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督导非电力行业大气污染物排放重点企业编制重污染天气应急预案，并对预案执行情况进行监督、检查</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督促响应地区加快淘汰落后产能，编制本部门应急实施方案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11</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县教育局</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负责组织制定中小学、幼儿园停止户外活动和停课专项方案，并督促落实，编制本部门应急级级实施方案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12</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县公安局</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负责落实禁放烟花爆竹的措施，保障预警应急期间的社</w:t>
            </w:r>
            <w:r>
              <w:rPr>
                <w:rFonts w:hint="eastAsia"/>
                <w:b/>
                <w:bCs/>
                <w:color w:val="auto"/>
                <w:sz w:val="24"/>
                <w:szCs w:val="24"/>
                <w:u w:val="single"/>
                <w:vertAlign w:val="baseline"/>
                <w:lang w:val="en-US" w:eastAsia="zh-CN"/>
              </w:rPr>
              <w:t>会稳定；组织制定机动车应急管控措施（如限行专项方案等），并督促落实；督导停办户外大型活动，编制本部门应急实施方案。</w:t>
            </w:r>
          </w:p>
        </w:tc>
        <w:tc>
          <w:tcPr>
            <w:tcW w:w="1747" w:type="dxa"/>
            <w:tcBorders>
              <w:tl2br w:val="nil"/>
              <w:tr2bl w:val="nil"/>
            </w:tcBorders>
            <w:vAlign w:val="center"/>
          </w:tcPr>
          <w:p>
            <w:pPr>
              <w:jc w:val="center"/>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13</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县财政局</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负责重污染天气应急工作及模拟演练与效果实测的经费保障及应急资金保障，</w:t>
            </w:r>
            <w:r>
              <w:rPr>
                <w:rFonts w:hint="eastAsia"/>
                <w:b/>
                <w:bCs/>
                <w:color w:val="auto"/>
                <w:sz w:val="24"/>
                <w:szCs w:val="24"/>
                <w:u w:val="single"/>
                <w:vertAlign w:val="baseline"/>
                <w:lang w:val="en-US" w:eastAsia="zh-CN"/>
              </w:rPr>
              <w:t>并对应急资金的使用进行监督检查，</w:t>
            </w:r>
            <w:r>
              <w:rPr>
                <w:rFonts w:hint="default"/>
                <w:b/>
                <w:bCs/>
                <w:color w:val="auto"/>
                <w:sz w:val="24"/>
                <w:szCs w:val="24"/>
                <w:u w:val="single"/>
                <w:vertAlign w:val="baseline"/>
                <w:lang w:val="en-US" w:eastAsia="zh-CN"/>
              </w:rPr>
              <w:t>编制本部门应急实施方案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14</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县住房和城乡建设局</w:t>
            </w:r>
          </w:p>
        </w:tc>
        <w:tc>
          <w:tcPr>
            <w:tcW w:w="4790" w:type="dxa"/>
            <w:tcBorders>
              <w:tl2br w:val="nil"/>
              <w:tr2bl w:val="nil"/>
            </w:tcBorders>
            <w:vAlign w:val="center"/>
          </w:tcPr>
          <w:p>
            <w:pPr>
              <w:keepNext w:val="0"/>
              <w:keepLines w:val="0"/>
              <w:widowControl/>
              <w:suppressLineNumbers w:val="0"/>
              <w:jc w:val="left"/>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负责组织落实燃煤供热企业、建筑施工、 道路扬尘应急管控措施</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组织制定建筑扬尘污染控制专项方案，按照防控单位名单，采取不同预警等级时的建筑施工单位扬尘污染控制措施，指导检查建筑工地围挡、冲洗、硬化、覆盖、喷淋、绿化及临级时停工情况，编制本部门应急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15</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县交通运输局</w:t>
            </w:r>
          </w:p>
        </w:tc>
        <w:tc>
          <w:tcPr>
            <w:tcW w:w="4790" w:type="dxa"/>
            <w:tcBorders>
              <w:tl2br w:val="nil"/>
              <w:tr2bl w:val="nil"/>
            </w:tcBorders>
            <w:vAlign w:val="center"/>
          </w:tcPr>
          <w:p>
            <w:pPr>
              <w:keepNext w:val="0"/>
              <w:keepLines w:val="0"/>
              <w:widowControl/>
              <w:suppressLineNumbers w:val="0"/>
              <w:jc w:val="left"/>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负责落实公共交通运输应急保障措施；督导重点交通运输行业落实应急管控措施</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组织制定重污染天气交通保障专项方案，并督促落实，编制本部门应急实施方案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16</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县卫生健康局</w:t>
            </w:r>
          </w:p>
        </w:tc>
        <w:tc>
          <w:tcPr>
            <w:tcW w:w="4790" w:type="dxa"/>
            <w:tcBorders>
              <w:tl2br w:val="nil"/>
              <w:tr2bl w:val="nil"/>
            </w:tcBorders>
            <w:vAlign w:val="center"/>
          </w:tcPr>
          <w:p>
            <w:pPr>
              <w:keepNext w:val="0"/>
              <w:keepLines w:val="0"/>
              <w:widowControl/>
              <w:suppressLineNumbers w:val="0"/>
              <w:jc w:val="left"/>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负责开展大气污染防病知识宣传，督促医疗卫生相关机构落实卫生防护、医疗救治措施，组织开展防止大气污染对人体健康产生不良影响的防病知识宣传，编制本部门应急实施方案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17</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县综合执法局</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负责在不同预警等级时提高道路清扫、洒水频次，指导检查各区治理扬尘、遗撒、露天焚烧</w:t>
            </w:r>
            <w:r>
              <w:rPr>
                <w:rFonts w:hint="eastAsia"/>
                <w:b/>
                <w:bCs/>
                <w:color w:val="auto"/>
                <w:sz w:val="24"/>
                <w:szCs w:val="24"/>
                <w:u w:val="single"/>
                <w:vertAlign w:val="baseline"/>
                <w:lang w:val="en-US" w:eastAsia="zh-CN"/>
              </w:rPr>
              <w:t>（垃圾、树叶）</w:t>
            </w:r>
            <w:r>
              <w:rPr>
                <w:rFonts w:hint="default"/>
                <w:b/>
                <w:bCs/>
                <w:color w:val="auto"/>
                <w:sz w:val="24"/>
                <w:szCs w:val="24"/>
                <w:u w:val="single"/>
                <w:vertAlign w:val="baseline"/>
                <w:lang w:val="en-US" w:eastAsia="zh-CN"/>
              </w:rPr>
              <w:t>、垃圾清运、渣土运输、露天烧烤、等措施开展情况。依据职责分工，对城市道路施工进行监督，督促有关单位及时对露土和堆土进行覆盖，落实停止开放景观灯光措施，编制本部门应急实施方案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18</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县交警大队</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负责在不同预警等级时采取相应交通管制和车辆限行措施，对现行车辆的违章行为进行严厉查处，编制本部门应急实施方案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19</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县自然资源局</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负责落实重污染天气预警时所有露天矿山的关停措施，督促所有非煤矿山停止一切产生扬尘的生产活动。编制本部门应急实施方案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20</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县商务局</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负责落实全县加油站、油库、运油车辆的油气回收设施全部正常运行的措施。编制本部门应急实施方案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21</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县农业农村局</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负责配合</w:t>
            </w:r>
            <w:r>
              <w:rPr>
                <w:rFonts w:hint="eastAsia"/>
                <w:b/>
                <w:bCs/>
                <w:color w:val="auto"/>
                <w:sz w:val="24"/>
                <w:szCs w:val="24"/>
                <w:u w:val="single"/>
                <w:lang w:val="en-US" w:eastAsia="zh-CN"/>
              </w:rPr>
              <w:t>露天秸秆离田</w:t>
            </w:r>
            <w:r>
              <w:rPr>
                <w:rFonts w:hint="default"/>
                <w:b/>
                <w:bCs/>
                <w:color w:val="auto"/>
                <w:sz w:val="24"/>
                <w:szCs w:val="24"/>
                <w:u w:val="single"/>
                <w:vertAlign w:val="baseline"/>
                <w:lang w:val="en-US" w:eastAsia="zh-CN"/>
              </w:rPr>
              <w:t>相关工作</w:t>
            </w:r>
            <w:r>
              <w:rPr>
                <w:rFonts w:hint="eastAsia"/>
                <w:b/>
                <w:bCs/>
                <w:color w:val="auto"/>
                <w:sz w:val="24"/>
                <w:szCs w:val="24"/>
                <w:u w:val="single"/>
                <w:vertAlign w:val="baseline"/>
                <w:lang w:val="en-US" w:eastAsia="zh-CN"/>
              </w:rPr>
              <w:t>，</w:t>
            </w:r>
            <w:r>
              <w:rPr>
                <w:rFonts w:hint="default"/>
                <w:b/>
                <w:bCs/>
                <w:color w:val="auto"/>
                <w:sz w:val="24"/>
                <w:szCs w:val="24"/>
                <w:u w:val="single"/>
                <w:vertAlign w:val="baseline"/>
                <w:lang w:val="en-US" w:eastAsia="zh-CN"/>
              </w:rPr>
              <w:t>编制本部门应急实施方案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22</w:t>
            </w:r>
          </w:p>
        </w:tc>
        <w:tc>
          <w:tcPr>
            <w:tcW w:w="2020" w:type="dxa"/>
            <w:tcBorders>
              <w:tl2br w:val="nil"/>
              <w:tr2bl w:val="nil"/>
            </w:tcBorders>
            <w:vAlign w:val="center"/>
          </w:tcPr>
          <w:p>
            <w:pPr>
              <w:jc w:val="cente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县电力公司</w:t>
            </w:r>
          </w:p>
        </w:tc>
        <w:tc>
          <w:tcPr>
            <w:tcW w:w="4790" w:type="dxa"/>
            <w:tcBorders>
              <w:tl2br w:val="nil"/>
              <w:tr2bl w:val="nil"/>
            </w:tcBorders>
            <w:vAlign w:val="center"/>
          </w:tcPr>
          <w:p>
            <w:pPr>
              <w:jc w:val="center"/>
              <w:rPr>
                <w:rFonts w:hint="default"/>
                <w:b/>
                <w:bCs/>
                <w:color w:val="auto"/>
                <w:sz w:val="24"/>
                <w:szCs w:val="24"/>
                <w:u w:val="single"/>
                <w:vertAlign w:val="baseline"/>
                <w:lang w:val="en-US" w:eastAsia="zh-CN"/>
              </w:rPr>
            </w:pPr>
            <w:r>
              <w:rPr>
                <w:rFonts w:hint="default"/>
                <w:b/>
                <w:bCs/>
                <w:color w:val="auto"/>
                <w:sz w:val="24"/>
                <w:szCs w:val="24"/>
                <w:u w:val="single"/>
                <w:vertAlign w:val="baseline"/>
                <w:lang w:val="en-US" w:eastAsia="zh-CN"/>
              </w:rPr>
              <w:t>负责发电负荷调配。在重污染天气期间，加大督导检查力度。制定并组织落实重污染天气电力保障应急预案</w:t>
            </w:r>
            <w:r>
              <w:rPr>
                <w:rFonts w:hint="eastAsia"/>
                <w:b/>
                <w:bCs/>
                <w:color w:val="auto"/>
                <w:sz w:val="24"/>
                <w:szCs w:val="24"/>
                <w:u w:val="single"/>
                <w:vertAlign w:val="baseline"/>
                <w:lang w:val="en-US" w:eastAsia="zh-CN"/>
              </w:rPr>
              <w:t>。</w:t>
            </w:r>
          </w:p>
        </w:tc>
        <w:tc>
          <w:tcPr>
            <w:tcW w:w="1747" w:type="dxa"/>
            <w:tcBorders>
              <w:tl2br w:val="nil"/>
              <w:tr2bl w:val="nil"/>
            </w:tcBorders>
            <w:vAlign w:val="center"/>
          </w:tcPr>
          <w:p>
            <w:pPr>
              <w:jc w:val="center"/>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Ⅲ级、Ⅱ级、Ⅰ级</w:t>
            </w:r>
          </w:p>
        </w:tc>
      </w:tr>
    </w:tbl>
    <w:p>
      <w:pPr>
        <w:jc w:val="left"/>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注：各县直部门制定本部门应对重污染天气实施方案，并报县重污染天气应急指挥部办公室备案，须与县政府签订大气污染防治的目标责任书。</w:t>
      </w:r>
    </w:p>
    <w:p>
      <w:pPr>
        <w:jc w:val="left"/>
        <w:rPr>
          <w:rFonts w:hint="eastAsia"/>
          <w:b w:val="0"/>
          <w:bCs w:val="0"/>
          <w:color w:val="auto"/>
          <w:sz w:val="24"/>
          <w:szCs w:val="24"/>
          <w:vertAlign w:val="baseline"/>
          <w:lang w:val="en-US" w:eastAsia="zh-CN"/>
        </w:rPr>
      </w:pPr>
    </w:p>
    <w:p>
      <w:pPr>
        <w:jc w:val="center"/>
        <w:rPr>
          <w:rFonts w:hint="eastAsia"/>
          <w:b w:val="0"/>
          <w:bCs w:val="0"/>
          <w:color w:val="auto"/>
          <w:sz w:val="24"/>
          <w:szCs w:val="24"/>
          <w:vertAlign w:val="baseline"/>
          <w:lang w:val="en-US" w:eastAsia="zh-CN"/>
        </w:rPr>
      </w:pPr>
      <w:r>
        <w:rPr>
          <w:rFonts w:hint="eastAsia"/>
          <w:color w:val="auto"/>
          <w:sz w:val="24"/>
          <w:szCs w:val="24"/>
          <w:lang w:val="en-US" w:eastAsia="zh-CN"/>
        </w:rPr>
        <w:object>
          <v:shape id="_x0000_i1025" o:spt="75" type="#_x0000_t75" style="height:214.5pt;width:117.7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bookmarkStart w:id="81" w:name="_GoBack"/>
      <w:bookmarkEnd w:id="81"/>
    </w:p>
    <w:p>
      <w:pPr>
        <w:jc w:val="center"/>
        <w:rPr>
          <w:rFonts w:hint="default"/>
          <w:b/>
          <w:bCs/>
          <w:color w:val="auto"/>
          <w:sz w:val="24"/>
          <w:szCs w:val="24"/>
          <w:u w:val="single"/>
          <w:vertAlign w:val="baseline"/>
          <w:lang w:val="en-US" w:eastAsia="zh-CN"/>
        </w:rPr>
      </w:pPr>
      <w:r>
        <w:rPr>
          <w:rFonts w:hint="eastAsia"/>
          <w:b/>
          <w:bCs/>
          <w:color w:val="auto"/>
          <w:sz w:val="24"/>
          <w:szCs w:val="24"/>
          <w:u w:val="single"/>
          <w:vertAlign w:val="baseline"/>
          <w:lang w:val="en-US" w:eastAsia="zh-CN"/>
        </w:rPr>
        <w:t>图1   应急指挥机构组成图</w:t>
      </w:r>
    </w:p>
    <w:p>
      <w:pPr>
        <w:jc w:val="left"/>
        <w:rPr>
          <w:rFonts w:hint="eastAsia"/>
          <w:b w:val="0"/>
          <w:bCs w:val="0"/>
          <w:color w:val="auto"/>
          <w:sz w:val="24"/>
          <w:szCs w:val="24"/>
          <w:vertAlign w:val="baseline"/>
          <w:lang w:val="en-US" w:eastAsia="zh-CN"/>
        </w:rPr>
      </w:pPr>
    </w:p>
    <w:p>
      <w:pPr>
        <w:jc w:val="left"/>
        <w:rPr>
          <w:rFonts w:hint="eastAsia"/>
          <w:b w:val="0"/>
          <w:bCs w:val="0"/>
          <w:color w:val="auto"/>
          <w:sz w:val="24"/>
          <w:szCs w:val="24"/>
          <w:vertAlign w:val="baseline"/>
          <w:lang w:val="en-US" w:eastAsia="zh-CN"/>
        </w:rPr>
      </w:pPr>
    </w:p>
    <w:p>
      <w:pPr>
        <w:jc w:val="left"/>
        <w:rPr>
          <w:rFonts w:hint="eastAsia"/>
          <w:b w:val="0"/>
          <w:bCs w:val="0"/>
          <w:color w:val="auto"/>
          <w:sz w:val="24"/>
          <w:szCs w:val="24"/>
          <w:vertAlign w:val="baseline"/>
          <w:lang w:val="en-US" w:eastAsia="zh-CN"/>
        </w:rPr>
        <w:sectPr>
          <w:pgSz w:w="11906" w:h="16838"/>
          <w:pgMar w:top="1417" w:right="1797" w:bottom="1417" w:left="1797" w:header="851" w:footer="850"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rPr>
          <w:rFonts w:hint="eastAsia"/>
          <w:b/>
          <w:bCs/>
          <w:color w:val="auto"/>
          <w:sz w:val="24"/>
          <w:szCs w:val="24"/>
          <w:lang w:val="en-US" w:eastAsia="zh-CN"/>
        </w:rPr>
      </w:pPr>
      <w:r>
        <w:rPr>
          <w:rFonts w:hint="eastAsia"/>
          <w:b/>
          <w:bCs/>
          <w:color w:val="auto"/>
          <w:sz w:val="24"/>
          <w:szCs w:val="24"/>
          <w:lang w:val="en-US" w:eastAsia="zh-CN"/>
        </w:rPr>
        <w:t>附件4：</w:t>
      </w:r>
    </w:p>
    <w:p>
      <w:pPr>
        <w:jc w:val="center"/>
        <w:rPr>
          <w:rFonts w:hint="eastAsia"/>
          <w:b/>
          <w:bCs/>
          <w:color w:val="auto"/>
          <w:sz w:val="32"/>
          <w:szCs w:val="32"/>
          <w:lang w:val="en-US" w:eastAsia="zh-CN"/>
        </w:rPr>
      </w:pPr>
      <w:bookmarkStart w:id="80" w:name="OLE_LINK1"/>
      <w:r>
        <w:rPr>
          <w:rFonts w:hint="eastAsia"/>
          <w:b/>
          <w:bCs/>
          <w:color w:val="auto"/>
          <w:sz w:val="32"/>
          <w:szCs w:val="32"/>
          <w:lang w:val="en-US" w:eastAsia="zh-CN"/>
        </w:rPr>
        <w:t>抚松县重污染天气应急</w:t>
      </w:r>
      <w:bookmarkEnd w:id="80"/>
      <w:r>
        <w:rPr>
          <w:rFonts w:hint="eastAsia"/>
          <w:b/>
          <w:bCs/>
          <w:color w:val="auto"/>
          <w:sz w:val="32"/>
          <w:szCs w:val="32"/>
          <w:lang w:val="en-US" w:eastAsia="zh-CN"/>
        </w:rPr>
        <w:t>停产、限产企业名单</w:t>
      </w:r>
    </w:p>
    <w:tbl>
      <w:tblPr>
        <w:tblStyle w:val="21"/>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345"/>
        <w:gridCol w:w="1185"/>
        <w:gridCol w:w="1050"/>
        <w:gridCol w:w="1590"/>
        <w:gridCol w:w="13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限制类别</w:t>
            </w:r>
          </w:p>
        </w:tc>
        <w:tc>
          <w:tcPr>
            <w:tcW w:w="3345" w:type="dxa"/>
            <w:tcBorders>
              <w:tl2br w:val="nil"/>
              <w:tr2bl w:val="nil"/>
            </w:tcBorders>
            <w:vAlign w:val="center"/>
          </w:tcPr>
          <w:p>
            <w:pPr>
              <w:adjustRightInd w:val="0"/>
              <w:snapToGrid w:val="0"/>
              <w:jc w:val="center"/>
              <w:rPr>
                <w:rFonts w:hint="eastAsia"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企业名称</w:t>
            </w:r>
          </w:p>
        </w:tc>
        <w:tc>
          <w:tcPr>
            <w:tcW w:w="1185"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从事行业</w:t>
            </w:r>
          </w:p>
        </w:tc>
        <w:tc>
          <w:tcPr>
            <w:tcW w:w="1050"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联系人</w:t>
            </w:r>
          </w:p>
        </w:tc>
        <w:tc>
          <w:tcPr>
            <w:tcW w:w="1590"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联系方式</w:t>
            </w:r>
          </w:p>
        </w:tc>
        <w:tc>
          <w:tcPr>
            <w:tcW w:w="1392"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所属区域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restart"/>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停产企业</w:t>
            </w:r>
          </w:p>
        </w:tc>
        <w:tc>
          <w:tcPr>
            <w:tcW w:w="3345"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抚松县中药有限公司</w:t>
            </w:r>
          </w:p>
        </w:tc>
        <w:tc>
          <w:tcPr>
            <w:tcW w:w="1185"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中成药</w:t>
            </w:r>
          </w:p>
        </w:tc>
        <w:tc>
          <w:tcPr>
            <w:tcW w:w="105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王洋</w:t>
            </w:r>
          </w:p>
        </w:tc>
        <w:tc>
          <w:tcPr>
            <w:tcW w:w="159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default" w:cs="Times New Roman"/>
                <w:b w:val="0"/>
                <w:bCs w:val="0"/>
                <w:i w:val="0"/>
                <w:iCs w:val="0"/>
                <w:color w:val="auto"/>
                <w:sz w:val="24"/>
                <w:szCs w:val="24"/>
                <w:u w:val="none"/>
                <w:lang w:val="en-US" w:eastAsia="zh-CN"/>
              </w:rPr>
              <w:t>15944959001</w:t>
            </w:r>
          </w:p>
        </w:tc>
        <w:tc>
          <w:tcPr>
            <w:tcW w:w="1392"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抚松县工业园区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3345"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抚松长白山啤酒有限公司</w:t>
            </w:r>
          </w:p>
        </w:tc>
        <w:tc>
          <w:tcPr>
            <w:tcW w:w="1185"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啤酒</w:t>
            </w:r>
          </w:p>
        </w:tc>
        <w:tc>
          <w:tcPr>
            <w:tcW w:w="105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徐</w:t>
            </w:r>
          </w:p>
        </w:tc>
        <w:tc>
          <w:tcPr>
            <w:tcW w:w="159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default" w:cs="Times New Roman"/>
                <w:b w:val="0"/>
                <w:bCs w:val="0"/>
                <w:i w:val="0"/>
                <w:iCs w:val="0"/>
                <w:color w:val="auto"/>
                <w:sz w:val="24"/>
                <w:szCs w:val="24"/>
                <w:u w:val="none"/>
                <w:lang w:val="en-US" w:eastAsia="zh-CN"/>
              </w:rPr>
              <w:t>13704490660</w:t>
            </w:r>
          </w:p>
        </w:tc>
        <w:tc>
          <w:tcPr>
            <w:tcW w:w="1392"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泉阳镇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restart"/>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限产企业</w:t>
            </w:r>
          </w:p>
        </w:tc>
        <w:tc>
          <w:tcPr>
            <w:tcW w:w="3345"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抚松县盛源热力有限公司</w:t>
            </w:r>
          </w:p>
        </w:tc>
        <w:tc>
          <w:tcPr>
            <w:tcW w:w="1185"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供热</w:t>
            </w:r>
          </w:p>
        </w:tc>
        <w:tc>
          <w:tcPr>
            <w:tcW w:w="1050"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default" w:cs="Times New Roman"/>
                <w:b w:val="0"/>
                <w:bCs w:val="0"/>
                <w:i w:val="0"/>
                <w:iCs w:val="0"/>
                <w:color w:val="auto"/>
                <w:sz w:val="24"/>
                <w:szCs w:val="24"/>
                <w:u w:val="none"/>
                <w:lang w:val="en-US" w:eastAsia="zh-CN"/>
              </w:rPr>
              <w:t>宋俊峰</w:t>
            </w:r>
          </w:p>
        </w:tc>
        <w:tc>
          <w:tcPr>
            <w:tcW w:w="1590"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default" w:cs="Times New Roman"/>
                <w:b w:val="0"/>
                <w:bCs w:val="0"/>
                <w:i w:val="0"/>
                <w:iCs w:val="0"/>
                <w:color w:val="auto"/>
                <w:sz w:val="24"/>
                <w:szCs w:val="24"/>
                <w:u w:val="none"/>
                <w:lang w:val="en-US" w:eastAsia="zh-CN"/>
              </w:rPr>
              <w:t>13159799776</w:t>
            </w:r>
          </w:p>
        </w:tc>
        <w:tc>
          <w:tcPr>
            <w:tcW w:w="1392"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万良镇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3345"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抚松县盛源热力有限公司温泉站</w:t>
            </w:r>
          </w:p>
        </w:tc>
        <w:tc>
          <w:tcPr>
            <w:tcW w:w="1185"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供热</w:t>
            </w:r>
          </w:p>
        </w:tc>
        <w:tc>
          <w:tcPr>
            <w:tcW w:w="1050"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default" w:cs="Times New Roman"/>
                <w:b w:val="0"/>
                <w:bCs w:val="0"/>
                <w:i w:val="0"/>
                <w:iCs w:val="0"/>
                <w:color w:val="auto"/>
                <w:sz w:val="24"/>
                <w:szCs w:val="24"/>
                <w:u w:val="none"/>
                <w:lang w:val="en-US" w:eastAsia="zh-CN"/>
              </w:rPr>
              <w:t>宋俊峰</w:t>
            </w:r>
          </w:p>
        </w:tc>
        <w:tc>
          <w:tcPr>
            <w:tcW w:w="1590"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default" w:cs="Times New Roman"/>
                <w:b w:val="0"/>
                <w:bCs w:val="0"/>
                <w:i w:val="0"/>
                <w:iCs w:val="0"/>
                <w:color w:val="auto"/>
                <w:sz w:val="24"/>
                <w:szCs w:val="24"/>
                <w:u w:val="none"/>
                <w:lang w:val="en-US" w:eastAsia="zh-CN"/>
              </w:rPr>
              <w:t>13159799776</w:t>
            </w:r>
          </w:p>
        </w:tc>
        <w:tc>
          <w:tcPr>
            <w:tcW w:w="1392"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仙人桥镇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3345"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新城热力有限公司</w:t>
            </w:r>
          </w:p>
        </w:tc>
        <w:tc>
          <w:tcPr>
            <w:tcW w:w="1185"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供热</w:t>
            </w:r>
          </w:p>
        </w:tc>
        <w:tc>
          <w:tcPr>
            <w:tcW w:w="1050"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w:t>
            </w:r>
          </w:p>
        </w:tc>
        <w:tc>
          <w:tcPr>
            <w:tcW w:w="1590"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13089387859</w:t>
            </w:r>
          </w:p>
        </w:tc>
        <w:tc>
          <w:tcPr>
            <w:tcW w:w="1392" w:type="dxa"/>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抚松新城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3345"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长白山万达旅游度假区供暖公司</w:t>
            </w:r>
          </w:p>
        </w:tc>
        <w:tc>
          <w:tcPr>
            <w:tcW w:w="1185"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供热</w:t>
            </w:r>
          </w:p>
        </w:tc>
        <w:tc>
          <w:tcPr>
            <w:tcW w:w="105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于</w:t>
            </w:r>
          </w:p>
        </w:tc>
        <w:tc>
          <w:tcPr>
            <w:tcW w:w="159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13019246919</w:t>
            </w:r>
          </w:p>
        </w:tc>
        <w:tc>
          <w:tcPr>
            <w:tcW w:w="1392"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抚松县松江河长白山国际旅游度假区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3345"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抚松县鸿源供热有限公司</w:t>
            </w:r>
          </w:p>
        </w:tc>
        <w:tc>
          <w:tcPr>
            <w:tcW w:w="1185"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供热</w:t>
            </w:r>
          </w:p>
        </w:tc>
        <w:tc>
          <w:tcPr>
            <w:tcW w:w="105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default" w:cs="Times New Roman"/>
                <w:b w:val="0"/>
                <w:bCs w:val="0"/>
                <w:i w:val="0"/>
                <w:iCs w:val="0"/>
                <w:color w:val="auto"/>
                <w:sz w:val="24"/>
                <w:szCs w:val="24"/>
                <w:u w:val="none"/>
                <w:lang w:val="en-US" w:eastAsia="zh-CN"/>
              </w:rPr>
              <w:t>郑树军</w:t>
            </w:r>
          </w:p>
        </w:tc>
        <w:tc>
          <w:tcPr>
            <w:tcW w:w="159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default" w:cs="Times New Roman"/>
                <w:b w:val="0"/>
                <w:bCs w:val="0"/>
                <w:i w:val="0"/>
                <w:iCs w:val="0"/>
                <w:color w:val="auto"/>
                <w:sz w:val="24"/>
                <w:szCs w:val="24"/>
                <w:u w:val="none"/>
                <w:lang w:val="en-US" w:eastAsia="zh-CN"/>
              </w:rPr>
              <w:t>13904499521</w:t>
            </w:r>
          </w:p>
        </w:tc>
        <w:tc>
          <w:tcPr>
            <w:tcW w:w="1392"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露水河镇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3345" w:type="dxa"/>
            <w:tcBorders>
              <w:tl2br w:val="nil"/>
              <w:tr2bl w:val="nil"/>
            </w:tcBorders>
            <w:vAlign w:val="center"/>
          </w:tcPr>
          <w:p>
            <w:pPr>
              <w:adjustRightInd w:val="0"/>
              <w:snapToGrid w:val="0"/>
              <w:jc w:val="center"/>
              <w:rPr>
                <w:rFonts w:hint="eastAsia"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抚松京热热力有限责任公司</w:t>
            </w:r>
          </w:p>
        </w:tc>
        <w:tc>
          <w:tcPr>
            <w:tcW w:w="1185"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供热</w:t>
            </w:r>
          </w:p>
        </w:tc>
        <w:tc>
          <w:tcPr>
            <w:tcW w:w="105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p>
        </w:tc>
        <w:tc>
          <w:tcPr>
            <w:tcW w:w="159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default" w:cs="Times New Roman"/>
                <w:b w:val="0"/>
                <w:bCs w:val="0"/>
                <w:i w:val="0"/>
                <w:iCs w:val="0"/>
                <w:color w:val="auto"/>
                <w:sz w:val="24"/>
                <w:szCs w:val="24"/>
                <w:u w:val="none"/>
                <w:lang w:val="en-US" w:eastAsia="zh-CN"/>
              </w:rPr>
              <w:t>15043947558</w:t>
            </w:r>
          </w:p>
        </w:tc>
        <w:tc>
          <w:tcPr>
            <w:tcW w:w="1392"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抚松镇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3345"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抚松县泉阳立公热力有限公司</w:t>
            </w:r>
          </w:p>
        </w:tc>
        <w:tc>
          <w:tcPr>
            <w:tcW w:w="1185"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供热</w:t>
            </w:r>
          </w:p>
        </w:tc>
        <w:tc>
          <w:tcPr>
            <w:tcW w:w="105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default" w:cs="Times New Roman"/>
                <w:b w:val="0"/>
                <w:bCs w:val="0"/>
                <w:i w:val="0"/>
                <w:iCs w:val="0"/>
                <w:color w:val="auto"/>
                <w:sz w:val="24"/>
                <w:szCs w:val="24"/>
                <w:u w:val="none"/>
                <w:lang w:val="en-US" w:eastAsia="zh-CN"/>
              </w:rPr>
              <w:t>牛序开</w:t>
            </w:r>
          </w:p>
        </w:tc>
        <w:tc>
          <w:tcPr>
            <w:tcW w:w="159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default" w:cs="Times New Roman"/>
                <w:b w:val="0"/>
                <w:bCs w:val="0"/>
                <w:i w:val="0"/>
                <w:iCs w:val="0"/>
                <w:color w:val="auto"/>
                <w:sz w:val="24"/>
                <w:szCs w:val="24"/>
                <w:u w:val="none"/>
                <w:lang w:val="en-US" w:eastAsia="zh-CN"/>
              </w:rPr>
              <w:t>13124393501</w:t>
            </w:r>
          </w:p>
        </w:tc>
        <w:tc>
          <w:tcPr>
            <w:tcW w:w="1392"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泉阳镇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3345"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抚松县泉阳立公热力有限公司2号站</w:t>
            </w:r>
          </w:p>
        </w:tc>
        <w:tc>
          <w:tcPr>
            <w:tcW w:w="1185"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供热</w:t>
            </w:r>
          </w:p>
        </w:tc>
        <w:tc>
          <w:tcPr>
            <w:tcW w:w="105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default" w:cs="Times New Roman"/>
                <w:b w:val="0"/>
                <w:bCs w:val="0"/>
                <w:i w:val="0"/>
                <w:iCs w:val="0"/>
                <w:color w:val="auto"/>
                <w:sz w:val="24"/>
                <w:szCs w:val="24"/>
                <w:u w:val="none"/>
                <w:lang w:val="en-US" w:eastAsia="zh-CN"/>
              </w:rPr>
              <w:t>牛序开</w:t>
            </w:r>
          </w:p>
        </w:tc>
        <w:tc>
          <w:tcPr>
            <w:tcW w:w="159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default" w:cs="Times New Roman"/>
                <w:b w:val="0"/>
                <w:bCs w:val="0"/>
                <w:i w:val="0"/>
                <w:iCs w:val="0"/>
                <w:color w:val="auto"/>
                <w:sz w:val="24"/>
                <w:szCs w:val="24"/>
                <w:u w:val="none"/>
                <w:lang w:val="en-US" w:eastAsia="zh-CN"/>
              </w:rPr>
              <w:t>13124393501</w:t>
            </w:r>
          </w:p>
        </w:tc>
        <w:tc>
          <w:tcPr>
            <w:tcW w:w="1392"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泉阳镇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3345"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抚松县恒岐热力有限公司</w:t>
            </w:r>
          </w:p>
        </w:tc>
        <w:tc>
          <w:tcPr>
            <w:tcW w:w="1185"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供热</w:t>
            </w:r>
          </w:p>
        </w:tc>
        <w:tc>
          <w:tcPr>
            <w:tcW w:w="105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杨</w:t>
            </w:r>
          </w:p>
        </w:tc>
        <w:tc>
          <w:tcPr>
            <w:tcW w:w="159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13894042616</w:t>
            </w:r>
          </w:p>
        </w:tc>
        <w:tc>
          <w:tcPr>
            <w:tcW w:w="1392"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露水河镇</w:t>
            </w:r>
          </w:p>
        </w:tc>
      </w:tr>
    </w:tbl>
    <w:p>
      <w:pPr>
        <w:adjustRightInd w:val="0"/>
        <w:snapToGrid w:val="0"/>
        <w:jc w:val="center"/>
        <w:rPr>
          <w:rFonts w:hint="default" w:cs="Times New Roman"/>
          <w:b w:val="0"/>
          <w:bCs w:val="0"/>
          <w:i w:val="0"/>
          <w:iCs w:val="0"/>
          <w:color w:val="auto"/>
          <w:sz w:val="24"/>
          <w:szCs w:val="24"/>
          <w:u w:val="none"/>
          <w:lang w:val="en-US" w:eastAsia="zh-CN"/>
        </w:rPr>
      </w:pPr>
    </w:p>
    <w:p>
      <w:pPr>
        <w:adjustRightInd w:val="0"/>
        <w:snapToGrid w:val="0"/>
        <w:jc w:val="center"/>
        <w:rPr>
          <w:rFonts w:hint="default" w:cs="Times New Roman"/>
          <w:b w:val="0"/>
          <w:bCs w:val="0"/>
          <w:i w:val="0"/>
          <w:iCs w:val="0"/>
          <w:color w:val="auto"/>
          <w:sz w:val="24"/>
          <w:szCs w:val="24"/>
          <w:u w:val="none"/>
          <w:lang w:val="en-US" w:eastAsia="zh-CN"/>
        </w:rPr>
      </w:pPr>
    </w:p>
    <w:p>
      <w:pPr>
        <w:adjustRightInd w:val="0"/>
        <w:snapToGrid w:val="0"/>
        <w:jc w:val="center"/>
        <w:rPr>
          <w:rFonts w:hint="default" w:cs="Times New Roman"/>
          <w:b w:val="0"/>
          <w:bCs w:val="0"/>
          <w:i w:val="0"/>
          <w:iCs w:val="0"/>
          <w:color w:val="auto"/>
          <w:sz w:val="24"/>
          <w:szCs w:val="24"/>
          <w:u w:val="none"/>
          <w:lang w:val="en-US" w:eastAsia="zh-CN"/>
        </w:rPr>
      </w:pPr>
    </w:p>
    <w:p>
      <w:pPr>
        <w:adjustRightInd w:val="0"/>
        <w:snapToGrid w:val="0"/>
        <w:jc w:val="center"/>
        <w:rPr>
          <w:rFonts w:hint="default" w:cs="Times New Roman"/>
          <w:b w:val="0"/>
          <w:bCs w:val="0"/>
          <w:i w:val="0"/>
          <w:iCs w:val="0"/>
          <w:color w:val="auto"/>
          <w:sz w:val="24"/>
          <w:szCs w:val="24"/>
          <w:u w:val="none"/>
          <w:lang w:val="en-US" w:eastAsia="zh-CN"/>
        </w:rPr>
      </w:pPr>
    </w:p>
    <w:p>
      <w:pPr>
        <w:adjustRightInd w:val="0"/>
        <w:snapToGrid w:val="0"/>
        <w:jc w:val="center"/>
        <w:rPr>
          <w:rFonts w:hint="default" w:cs="Times New Roman"/>
          <w:b w:val="0"/>
          <w:bCs w:val="0"/>
          <w:i w:val="0"/>
          <w:iCs w:val="0"/>
          <w:color w:val="auto"/>
          <w:sz w:val="24"/>
          <w:szCs w:val="24"/>
          <w:u w:val="none"/>
          <w:lang w:val="en-US" w:eastAsia="zh-CN"/>
        </w:rPr>
      </w:pPr>
    </w:p>
    <w:p>
      <w:pPr>
        <w:adjustRightInd w:val="0"/>
        <w:snapToGrid w:val="0"/>
        <w:jc w:val="center"/>
        <w:rPr>
          <w:rFonts w:hint="default" w:cs="Times New Roman"/>
          <w:b w:val="0"/>
          <w:bCs w:val="0"/>
          <w:i w:val="0"/>
          <w:iCs w:val="0"/>
          <w:color w:val="auto"/>
          <w:sz w:val="24"/>
          <w:szCs w:val="24"/>
          <w:u w:val="none"/>
          <w:lang w:val="en-US" w:eastAsia="zh-CN"/>
        </w:rPr>
      </w:pPr>
    </w:p>
    <w:p>
      <w:pPr>
        <w:adjustRightInd w:val="0"/>
        <w:snapToGrid w:val="0"/>
        <w:jc w:val="center"/>
        <w:rPr>
          <w:rFonts w:hint="default" w:cs="Times New Roman"/>
          <w:b w:val="0"/>
          <w:bCs w:val="0"/>
          <w:i w:val="0"/>
          <w:iCs w:val="0"/>
          <w:color w:val="auto"/>
          <w:sz w:val="24"/>
          <w:szCs w:val="24"/>
          <w:u w:val="none"/>
          <w:lang w:val="en-US" w:eastAsia="zh-CN"/>
        </w:rPr>
      </w:pPr>
    </w:p>
    <w:p>
      <w:pPr>
        <w:adjustRightInd w:val="0"/>
        <w:snapToGrid w:val="0"/>
        <w:jc w:val="center"/>
        <w:rPr>
          <w:rFonts w:hint="default" w:cs="Times New Roman"/>
          <w:b w:val="0"/>
          <w:bCs w:val="0"/>
          <w:i w:val="0"/>
          <w:iCs w:val="0"/>
          <w:color w:val="auto"/>
          <w:sz w:val="24"/>
          <w:szCs w:val="24"/>
          <w:u w:val="none"/>
          <w:lang w:val="en-US" w:eastAsia="zh-CN"/>
        </w:rPr>
      </w:pPr>
    </w:p>
    <w:p>
      <w:pPr>
        <w:adjustRightInd w:val="0"/>
        <w:snapToGrid w:val="0"/>
        <w:jc w:val="center"/>
        <w:rPr>
          <w:rFonts w:hint="default" w:cs="Times New Roman"/>
          <w:b w:val="0"/>
          <w:bCs w:val="0"/>
          <w:i w:val="0"/>
          <w:iCs w:val="0"/>
          <w:color w:val="auto"/>
          <w:sz w:val="24"/>
          <w:szCs w:val="24"/>
          <w:u w:val="none"/>
          <w:lang w:val="en-US" w:eastAsia="zh-CN"/>
        </w:rPr>
        <w:sectPr>
          <w:pgSz w:w="11906" w:h="16838"/>
          <w:pgMar w:top="1417" w:right="1797" w:bottom="1417" w:left="1797" w:header="851" w:footer="850"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rPr>
          <w:rFonts w:hint="eastAsia"/>
          <w:b/>
          <w:bCs/>
          <w:color w:val="auto"/>
          <w:sz w:val="24"/>
          <w:szCs w:val="24"/>
          <w:lang w:val="en-US" w:eastAsia="zh-CN"/>
        </w:rPr>
      </w:pPr>
      <w:r>
        <w:rPr>
          <w:rFonts w:hint="eastAsia"/>
          <w:b/>
          <w:bCs/>
          <w:color w:val="auto"/>
          <w:sz w:val="24"/>
          <w:szCs w:val="24"/>
          <w:lang w:val="en-US" w:eastAsia="zh-CN"/>
        </w:rPr>
        <w:t>附件5：</w:t>
      </w:r>
    </w:p>
    <w:p>
      <w:pPr>
        <w:jc w:val="center"/>
        <w:rPr>
          <w:rFonts w:hint="eastAsia"/>
          <w:b/>
          <w:bCs/>
          <w:color w:val="auto"/>
          <w:sz w:val="32"/>
          <w:szCs w:val="32"/>
          <w:lang w:val="en-US" w:eastAsia="zh-CN"/>
        </w:rPr>
      </w:pPr>
      <w:r>
        <w:rPr>
          <w:rFonts w:hint="eastAsia"/>
          <w:b/>
          <w:bCs/>
          <w:color w:val="auto"/>
          <w:sz w:val="32"/>
          <w:szCs w:val="32"/>
          <w:lang w:val="en-US" w:eastAsia="zh-CN"/>
        </w:rPr>
        <w:t>抚松县重污染天气应急响应程序图</w:t>
      </w:r>
    </w:p>
    <w:p>
      <w:pPr>
        <w:adjustRightInd w:val="0"/>
        <w:snapToGrid w:val="0"/>
        <w:jc w:val="center"/>
        <w:rPr>
          <w:rFonts w:hint="eastAsia"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object>
          <v:shape id="_x0000_i1026" o:spt="75" type="#_x0000_t75" style="height:463.5pt;width:395.25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pPr>
        <w:pStyle w:val="26"/>
        <w:rPr>
          <w:rFonts w:hint="eastAsia"/>
          <w:color w:val="auto"/>
          <w:lang w:val="en-US" w:eastAsia="zh-CN"/>
        </w:rPr>
      </w:pPr>
    </w:p>
    <w:p>
      <w:pPr>
        <w:adjustRightInd w:val="0"/>
        <w:snapToGrid w:val="0"/>
        <w:jc w:val="center"/>
        <w:rPr>
          <w:rFonts w:hint="eastAsia" w:cs="Times New Roman"/>
          <w:b w:val="0"/>
          <w:bCs w:val="0"/>
          <w:i w:val="0"/>
          <w:iCs w:val="0"/>
          <w:color w:val="auto"/>
          <w:sz w:val="24"/>
          <w:szCs w:val="24"/>
          <w:u w:val="none"/>
          <w:lang w:val="en-US" w:eastAsia="zh-CN"/>
        </w:rPr>
      </w:pPr>
    </w:p>
    <w:p>
      <w:pPr>
        <w:adjustRightInd w:val="0"/>
        <w:snapToGrid w:val="0"/>
        <w:jc w:val="center"/>
        <w:rPr>
          <w:rFonts w:hint="eastAsia" w:cs="Times New Roman"/>
          <w:b w:val="0"/>
          <w:bCs w:val="0"/>
          <w:i w:val="0"/>
          <w:iCs w:val="0"/>
          <w:color w:val="auto"/>
          <w:sz w:val="24"/>
          <w:szCs w:val="24"/>
          <w:u w:val="none"/>
          <w:lang w:val="en-US" w:eastAsia="zh-CN"/>
        </w:rPr>
      </w:pPr>
    </w:p>
    <w:p>
      <w:pPr>
        <w:adjustRightInd w:val="0"/>
        <w:snapToGrid w:val="0"/>
        <w:jc w:val="center"/>
        <w:rPr>
          <w:rFonts w:hint="eastAsia" w:cs="Times New Roman"/>
          <w:b w:val="0"/>
          <w:bCs w:val="0"/>
          <w:i w:val="0"/>
          <w:iCs w:val="0"/>
          <w:color w:val="auto"/>
          <w:sz w:val="24"/>
          <w:szCs w:val="24"/>
          <w:u w:val="none"/>
          <w:lang w:val="en-US" w:eastAsia="zh-CN"/>
        </w:rPr>
      </w:pPr>
    </w:p>
    <w:p>
      <w:pPr>
        <w:adjustRightInd w:val="0"/>
        <w:snapToGrid w:val="0"/>
        <w:jc w:val="center"/>
        <w:rPr>
          <w:rFonts w:hint="default" w:cs="Times New Roman"/>
          <w:b w:val="0"/>
          <w:bCs w:val="0"/>
          <w:i w:val="0"/>
          <w:iCs w:val="0"/>
          <w:color w:val="auto"/>
          <w:sz w:val="24"/>
          <w:szCs w:val="24"/>
          <w:u w:val="none"/>
          <w:lang w:val="en-US" w:eastAsia="zh-CN"/>
        </w:rPr>
        <w:sectPr>
          <w:pgSz w:w="11906" w:h="16838"/>
          <w:pgMar w:top="1417" w:right="1797" w:bottom="1417" w:left="1797" w:header="851" w:footer="850"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rPr>
          <w:rFonts w:hint="eastAsia"/>
          <w:b/>
          <w:bCs/>
          <w:color w:val="auto"/>
          <w:sz w:val="24"/>
          <w:szCs w:val="24"/>
          <w:lang w:val="en-US" w:eastAsia="zh-CN"/>
        </w:rPr>
      </w:pPr>
      <w:r>
        <w:rPr>
          <w:rFonts w:hint="eastAsia"/>
          <w:b/>
          <w:bCs/>
          <w:color w:val="auto"/>
          <w:sz w:val="24"/>
          <w:szCs w:val="24"/>
          <w:lang w:val="en-US" w:eastAsia="zh-CN"/>
        </w:rPr>
        <w:t>附件6：</w:t>
      </w:r>
    </w:p>
    <w:p>
      <w:pPr>
        <w:jc w:val="center"/>
        <w:rPr>
          <w:rFonts w:hint="eastAsia"/>
          <w:b/>
          <w:bCs/>
          <w:color w:val="auto"/>
          <w:sz w:val="32"/>
          <w:szCs w:val="32"/>
          <w:lang w:val="en-US" w:eastAsia="zh-CN"/>
        </w:rPr>
      </w:pPr>
      <w:r>
        <w:rPr>
          <w:rFonts w:hint="eastAsia"/>
          <w:b/>
          <w:bCs/>
          <w:color w:val="auto"/>
          <w:sz w:val="32"/>
          <w:szCs w:val="32"/>
          <w:lang w:val="en-US" w:eastAsia="zh-CN"/>
        </w:rPr>
        <w:t>抚松县重污染天气应急监测能力表</w:t>
      </w:r>
    </w:p>
    <w:tbl>
      <w:tblPr>
        <w:tblStyle w:val="21"/>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968"/>
        <w:gridCol w:w="968"/>
        <w:gridCol w:w="968"/>
        <w:gridCol w:w="1509"/>
        <w:gridCol w:w="1154"/>
        <w:gridCol w:w="115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监测点位名称</w:t>
            </w:r>
          </w:p>
        </w:tc>
        <w:tc>
          <w:tcPr>
            <w:tcW w:w="786" w:type="dxa"/>
            <w:vAlign w:val="center"/>
          </w:tcPr>
          <w:p>
            <w:pPr>
              <w:adjustRightInd w:val="0"/>
              <w:snapToGrid w:val="0"/>
              <w:jc w:val="center"/>
              <w:rPr>
                <w:rFonts w:hint="eastAsia"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海拔</w:t>
            </w:r>
          </w:p>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高度</w:t>
            </w:r>
          </w:p>
        </w:tc>
        <w:tc>
          <w:tcPr>
            <w:tcW w:w="786" w:type="dxa"/>
            <w:vAlign w:val="center"/>
          </w:tcPr>
          <w:p>
            <w:pPr>
              <w:adjustRightInd w:val="0"/>
              <w:snapToGrid w:val="0"/>
              <w:jc w:val="center"/>
              <w:rPr>
                <w:rFonts w:hint="eastAsia"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采样</w:t>
            </w:r>
          </w:p>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高度</w:t>
            </w:r>
          </w:p>
        </w:tc>
        <w:tc>
          <w:tcPr>
            <w:tcW w:w="786"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监测项目</w:t>
            </w:r>
          </w:p>
        </w:tc>
        <w:tc>
          <w:tcPr>
            <w:tcW w:w="1225"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生产厂家</w:t>
            </w:r>
          </w:p>
        </w:tc>
        <w:tc>
          <w:tcPr>
            <w:tcW w:w="937"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型号</w:t>
            </w:r>
          </w:p>
        </w:tc>
        <w:tc>
          <w:tcPr>
            <w:tcW w:w="938"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原理</w:t>
            </w:r>
          </w:p>
        </w:tc>
        <w:tc>
          <w:tcPr>
            <w:tcW w:w="1107"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运行起始时间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restart"/>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抚松县新城政府广场</w:t>
            </w:r>
          </w:p>
        </w:tc>
        <w:tc>
          <w:tcPr>
            <w:tcW w:w="786" w:type="dxa"/>
            <w:vMerge w:val="restart"/>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420m</w:t>
            </w:r>
          </w:p>
        </w:tc>
        <w:tc>
          <w:tcPr>
            <w:tcW w:w="786" w:type="dxa"/>
            <w:vMerge w:val="restart"/>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425m</w:t>
            </w:r>
          </w:p>
        </w:tc>
        <w:tc>
          <w:tcPr>
            <w:tcW w:w="786"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PM</w:t>
            </w:r>
            <w:r>
              <w:rPr>
                <w:rFonts w:hint="eastAsia" w:cs="Times New Roman"/>
                <w:b w:val="0"/>
                <w:bCs w:val="0"/>
                <w:i w:val="0"/>
                <w:iCs w:val="0"/>
                <w:color w:val="auto"/>
                <w:sz w:val="24"/>
                <w:szCs w:val="24"/>
                <w:u w:val="none"/>
                <w:vertAlign w:val="subscript"/>
                <w:lang w:val="en-US" w:eastAsia="zh-CN"/>
              </w:rPr>
              <w:t>10</w:t>
            </w:r>
          </w:p>
        </w:tc>
        <w:tc>
          <w:tcPr>
            <w:tcW w:w="1225" w:type="dxa"/>
            <w:vAlign w:val="center"/>
          </w:tcPr>
          <w:p>
            <w:pPr>
              <w:adjustRightInd w:val="0"/>
              <w:snapToGrid w:val="0"/>
              <w:jc w:val="center"/>
              <w:rPr>
                <w:rFonts w:hint="default" w:cs="Times New Roman"/>
                <w:b/>
                <w:bCs/>
                <w:i w:val="0"/>
                <w:iCs w:val="0"/>
                <w:color w:val="auto"/>
                <w:sz w:val="24"/>
                <w:szCs w:val="24"/>
                <w:u w:val="single"/>
                <w:lang w:val="en-US" w:eastAsia="zh-CN"/>
              </w:rPr>
            </w:pPr>
            <w:r>
              <w:rPr>
                <w:rFonts w:hint="eastAsia" w:cs="Times New Roman"/>
                <w:b/>
                <w:bCs/>
                <w:i w:val="0"/>
                <w:iCs w:val="0"/>
                <w:color w:val="auto"/>
                <w:sz w:val="24"/>
                <w:szCs w:val="24"/>
                <w:u w:val="single"/>
                <w:lang w:val="en-US" w:eastAsia="zh-CN"/>
              </w:rPr>
              <w:t>METONE</w:t>
            </w:r>
          </w:p>
        </w:tc>
        <w:tc>
          <w:tcPr>
            <w:tcW w:w="937" w:type="dxa"/>
            <w:vAlign w:val="center"/>
          </w:tcPr>
          <w:p>
            <w:pPr>
              <w:adjustRightInd w:val="0"/>
              <w:snapToGrid w:val="0"/>
              <w:jc w:val="center"/>
              <w:rPr>
                <w:rFonts w:hint="default" w:cs="Times New Roman"/>
                <w:b/>
                <w:bCs/>
                <w:i w:val="0"/>
                <w:iCs w:val="0"/>
                <w:color w:val="auto"/>
                <w:sz w:val="24"/>
                <w:szCs w:val="24"/>
                <w:u w:val="single"/>
                <w:lang w:val="en-US" w:eastAsia="zh-CN"/>
              </w:rPr>
            </w:pPr>
            <w:r>
              <w:rPr>
                <w:rFonts w:hint="eastAsia" w:cs="Times New Roman"/>
                <w:b/>
                <w:bCs/>
                <w:i w:val="0"/>
                <w:iCs w:val="0"/>
                <w:color w:val="auto"/>
                <w:sz w:val="24"/>
                <w:szCs w:val="24"/>
                <w:u w:val="single"/>
                <w:lang w:val="en-US" w:eastAsia="zh-CN"/>
              </w:rPr>
              <w:t>BAM-1020</w:t>
            </w:r>
          </w:p>
        </w:tc>
        <w:tc>
          <w:tcPr>
            <w:tcW w:w="938"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β射线衰减法</w:t>
            </w:r>
          </w:p>
        </w:tc>
        <w:tc>
          <w:tcPr>
            <w:tcW w:w="1107"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2014年1月1日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PM</w:t>
            </w:r>
            <w:r>
              <w:rPr>
                <w:rFonts w:hint="eastAsia" w:cs="Times New Roman"/>
                <w:b w:val="0"/>
                <w:bCs w:val="0"/>
                <w:i w:val="0"/>
                <w:iCs w:val="0"/>
                <w:color w:val="auto"/>
                <w:sz w:val="24"/>
                <w:szCs w:val="24"/>
                <w:u w:val="none"/>
                <w:vertAlign w:val="subscript"/>
                <w:lang w:val="en-US" w:eastAsia="zh-CN"/>
              </w:rPr>
              <w:t>2.5</w:t>
            </w:r>
          </w:p>
        </w:tc>
        <w:tc>
          <w:tcPr>
            <w:tcW w:w="1225" w:type="dxa"/>
            <w:vAlign w:val="center"/>
          </w:tcPr>
          <w:p>
            <w:pPr>
              <w:adjustRightInd w:val="0"/>
              <w:snapToGrid w:val="0"/>
              <w:jc w:val="center"/>
              <w:rPr>
                <w:rFonts w:hint="default" w:cs="Times New Roman"/>
                <w:b/>
                <w:bCs/>
                <w:i w:val="0"/>
                <w:iCs w:val="0"/>
                <w:color w:val="auto"/>
                <w:sz w:val="24"/>
                <w:szCs w:val="24"/>
                <w:u w:val="single"/>
                <w:lang w:val="en-US" w:eastAsia="zh-CN"/>
              </w:rPr>
            </w:pPr>
            <w:r>
              <w:rPr>
                <w:rFonts w:hint="eastAsia" w:cs="Times New Roman"/>
                <w:b/>
                <w:bCs/>
                <w:i w:val="0"/>
                <w:iCs w:val="0"/>
                <w:color w:val="auto"/>
                <w:sz w:val="24"/>
                <w:szCs w:val="24"/>
                <w:u w:val="single"/>
                <w:lang w:val="en-US" w:eastAsia="zh-CN"/>
              </w:rPr>
              <w:t>先河</w:t>
            </w:r>
          </w:p>
        </w:tc>
        <w:tc>
          <w:tcPr>
            <w:tcW w:w="937" w:type="dxa"/>
            <w:vAlign w:val="center"/>
          </w:tcPr>
          <w:p>
            <w:pPr>
              <w:adjustRightInd w:val="0"/>
              <w:snapToGrid w:val="0"/>
              <w:jc w:val="center"/>
              <w:rPr>
                <w:rFonts w:hint="default" w:cs="Times New Roman"/>
                <w:b/>
                <w:bCs/>
                <w:i w:val="0"/>
                <w:iCs w:val="0"/>
                <w:color w:val="auto"/>
                <w:sz w:val="24"/>
                <w:szCs w:val="24"/>
                <w:u w:val="single"/>
                <w:lang w:val="en-US" w:eastAsia="zh-CN"/>
              </w:rPr>
            </w:pPr>
            <w:r>
              <w:rPr>
                <w:rFonts w:hint="eastAsia" w:cs="Times New Roman"/>
                <w:b/>
                <w:bCs/>
                <w:i w:val="0"/>
                <w:iCs w:val="0"/>
                <w:color w:val="auto"/>
                <w:sz w:val="24"/>
                <w:szCs w:val="24"/>
                <w:u w:val="single"/>
                <w:lang w:val="en-US" w:eastAsia="zh-CN"/>
              </w:rPr>
              <w:t>XNPM2000E</w:t>
            </w:r>
          </w:p>
        </w:tc>
        <w:tc>
          <w:tcPr>
            <w:tcW w:w="938"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β射线衰减法</w:t>
            </w:r>
          </w:p>
        </w:tc>
        <w:tc>
          <w:tcPr>
            <w:tcW w:w="1107"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2014年1月1日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9"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SO</w:t>
            </w:r>
            <w:r>
              <w:rPr>
                <w:rFonts w:hint="eastAsia" w:cs="Times New Roman"/>
                <w:b w:val="0"/>
                <w:bCs w:val="0"/>
                <w:i w:val="0"/>
                <w:iCs w:val="0"/>
                <w:color w:val="auto"/>
                <w:sz w:val="24"/>
                <w:szCs w:val="24"/>
                <w:u w:val="none"/>
                <w:vertAlign w:val="subscript"/>
                <w:lang w:val="en-US" w:eastAsia="zh-CN"/>
              </w:rPr>
              <w:t>2</w:t>
            </w:r>
          </w:p>
        </w:tc>
        <w:tc>
          <w:tcPr>
            <w:tcW w:w="1225" w:type="dxa"/>
            <w:vAlign w:val="center"/>
          </w:tcPr>
          <w:p>
            <w:pPr>
              <w:adjustRightInd w:val="0"/>
              <w:snapToGrid w:val="0"/>
              <w:jc w:val="center"/>
              <w:rPr>
                <w:rFonts w:hint="default" w:cs="Times New Roman"/>
                <w:b/>
                <w:bCs/>
                <w:i w:val="0"/>
                <w:iCs w:val="0"/>
                <w:color w:val="auto"/>
                <w:sz w:val="24"/>
                <w:szCs w:val="24"/>
                <w:u w:val="single"/>
                <w:lang w:val="en-US" w:eastAsia="zh-CN"/>
              </w:rPr>
            </w:pPr>
            <w:r>
              <w:rPr>
                <w:rFonts w:hint="eastAsia" w:cs="Times New Roman"/>
                <w:b/>
                <w:bCs/>
                <w:i w:val="0"/>
                <w:iCs w:val="0"/>
                <w:color w:val="auto"/>
                <w:sz w:val="24"/>
                <w:szCs w:val="24"/>
                <w:u w:val="single"/>
                <w:lang w:val="en-US" w:eastAsia="zh-CN"/>
              </w:rPr>
              <w:t>API</w:t>
            </w:r>
          </w:p>
        </w:tc>
        <w:tc>
          <w:tcPr>
            <w:tcW w:w="937" w:type="dxa"/>
            <w:vAlign w:val="center"/>
          </w:tcPr>
          <w:p>
            <w:pPr>
              <w:adjustRightInd w:val="0"/>
              <w:snapToGrid w:val="0"/>
              <w:jc w:val="center"/>
              <w:rPr>
                <w:rFonts w:hint="default" w:cs="Times New Roman"/>
                <w:b/>
                <w:bCs/>
                <w:i w:val="0"/>
                <w:iCs w:val="0"/>
                <w:color w:val="auto"/>
                <w:sz w:val="24"/>
                <w:szCs w:val="24"/>
                <w:u w:val="single"/>
                <w:lang w:val="en-US" w:eastAsia="zh-CN"/>
              </w:rPr>
            </w:pPr>
            <w:r>
              <w:rPr>
                <w:rFonts w:hint="eastAsia" w:cs="Times New Roman"/>
                <w:b/>
                <w:bCs/>
                <w:i w:val="0"/>
                <w:iCs w:val="0"/>
                <w:color w:val="auto"/>
                <w:sz w:val="24"/>
                <w:szCs w:val="24"/>
                <w:u w:val="single"/>
                <w:lang w:val="en-US" w:eastAsia="zh-CN"/>
              </w:rPr>
              <w:t>T100</w:t>
            </w:r>
          </w:p>
        </w:tc>
        <w:tc>
          <w:tcPr>
            <w:tcW w:w="938"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 xml:space="preserve">紫外荧光法 </w:t>
            </w:r>
          </w:p>
        </w:tc>
        <w:tc>
          <w:tcPr>
            <w:tcW w:w="1107"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2014年1月1日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9"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NO</w:t>
            </w:r>
            <w:r>
              <w:rPr>
                <w:rFonts w:hint="eastAsia" w:cs="Times New Roman"/>
                <w:b w:val="0"/>
                <w:bCs w:val="0"/>
                <w:i w:val="0"/>
                <w:iCs w:val="0"/>
                <w:color w:val="auto"/>
                <w:sz w:val="24"/>
                <w:szCs w:val="24"/>
                <w:u w:val="none"/>
                <w:vertAlign w:val="subscript"/>
                <w:lang w:val="en-US" w:eastAsia="zh-CN"/>
              </w:rPr>
              <w:t>2</w:t>
            </w:r>
          </w:p>
        </w:tc>
        <w:tc>
          <w:tcPr>
            <w:tcW w:w="1225" w:type="dxa"/>
            <w:vAlign w:val="center"/>
          </w:tcPr>
          <w:p>
            <w:pPr>
              <w:adjustRightInd w:val="0"/>
              <w:snapToGrid w:val="0"/>
              <w:jc w:val="center"/>
              <w:rPr>
                <w:rFonts w:hint="default" w:cs="Times New Roman"/>
                <w:b/>
                <w:bCs/>
                <w:i w:val="0"/>
                <w:iCs w:val="0"/>
                <w:color w:val="auto"/>
                <w:sz w:val="24"/>
                <w:szCs w:val="24"/>
                <w:u w:val="single"/>
                <w:lang w:val="en-US" w:eastAsia="zh-CN"/>
              </w:rPr>
            </w:pPr>
            <w:r>
              <w:rPr>
                <w:rFonts w:hint="eastAsia" w:cs="Times New Roman"/>
                <w:b/>
                <w:bCs/>
                <w:i w:val="0"/>
                <w:iCs w:val="0"/>
                <w:color w:val="auto"/>
                <w:sz w:val="24"/>
                <w:szCs w:val="24"/>
                <w:u w:val="single"/>
                <w:lang w:val="en-US" w:eastAsia="zh-CN"/>
              </w:rPr>
              <w:t>API</w:t>
            </w:r>
          </w:p>
        </w:tc>
        <w:tc>
          <w:tcPr>
            <w:tcW w:w="937" w:type="dxa"/>
            <w:vAlign w:val="center"/>
          </w:tcPr>
          <w:p>
            <w:pPr>
              <w:adjustRightInd w:val="0"/>
              <w:snapToGrid w:val="0"/>
              <w:jc w:val="center"/>
              <w:rPr>
                <w:rFonts w:hint="default" w:cs="Times New Roman"/>
                <w:b/>
                <w:bCs/>
                <w:i w:val="0"/>
                <w:iCs w:val="0"/>
                <w:color w:val="auto"/>
                <w:sz w:val="24"/>
                <w:szCs w:val="24"/>
                <w:u w:val="single"/>
                <w:lang w:val="en-US" w:eastAsia="zh-CN"/>
              </w:rPr>
            </w:pPr>
            <w:r>
              <w:rPr>
                <w:rFonts w:hint="eastAsia" w:cs="Times New Roman"/>
                <w:b/>
                <w:bCs/>
                <w:i w:val="0"/>
                <w:iCs w:val="0"/>
                <w:color w:val="auto"/>
                <w:sz w:val="24"/>
                <w:szCs w:val="24"/>
                <w:u w:val="single"/>
                <w:lang w:val="en-US" w:eastAsia="zh-CN"/>
              </w:rPr>
              <w:t>T200</w:t>
            </w:r>
          </w:p>
        </w:tc>
        <w:tc>
          <w:tcPr>
            <w:tcW w:w="938"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化学法光法</w:t>
            </w:r>
          </w:p>
        </w:tc>
        <w:tc>
          <w:tcPr>
            <w:tcW w:w="1107"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2014年1月1日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CO</w:t>
            </w:r>
          </w:p>
        </w:tc>
        <w:tc>
          <w:tcPr>
            <w:tcW w:w="1225" w:type="dxa"/>
            <w:vAlign w:val="center"/>
          </w:tcPr>
          <w:p>
            <w:pPr>
              <w:adjustRightInd w:val="0"/>
              <w:snapToGrid w:val="0"/>
              <w:jc w:val="center"/>
              <w:rPr>
                <w:rFonts w:hint="default" w:cs="Times New Roman"/>
                <w:b/>
                <w:bCs/>
                <w:i w:val="0"/>
                <w:iCs w:val="0"/>
                <w:color w:val="auto"/>
                <w:sz w:val="24"/>
                <w:szCs w:val="24"/>
                <w:u w:val="single"/>
                <w:lang w:val="en-US" w:eastAsia="zh-CN"/>
              </w:rPr>
            </w:pPr>
            <w:r>
              <w:rPr>
                <w:rFonts w:hint="eastAsia" w:cs="Times New Roman"/>
                <w:b/>
                <w:bCs/>
                <w:i w:val="0"/>
                <w:iCs w:val="0"/>
                <w:color w:val="auto"/>
                <w:sz w:val="24"/>
                <w:szCs w:val="24"/>
                <w:u w:val="single"/>
                <w:lang w:val="en-US" w:eastAsia="zh-CN"/>
              </w:rPr>
              <w:t>API</w:t>
            </w:r>
          </w:p>
        </w:tc>
        <w:tc>
          <w:tcPr>
            <w:tcW w:w="937" w:type="dxa"/>
            <w:vAlign w:val="center"/>
          </w:tcPr>
          <w:p>
            <w:pPr>
              <w:adjustRightInd w:val="0"/>
              <w:snapToGrid w:val="0"/>
              <w:jc w:val="center"/>
              <w:rPr>
                <w:rFonts w:hint="default" w:cs="Times New Roman"/>
                <w:b/>
                <w:bCs/>
                <w:i w:val="0"/>
                <w:iCs w:val="0"/>
                <w:color w:val="auto"/>
                <w:sz w:val="24"/>
                <w:szCs w:val="24"/>
                <w:u w:val="single"/>
                <w:lang w:val="en-US" w:eastAsia="zh-CN"/>
              </w:rPr>
            </w:pPr>
            <w:r>
              <w:rPr>
                <w:rFonts w:hint="eastAsia" w:cs="Times New Roman"/>
                <w:b/>
                <w:bCs/>
                <w:i w:val="0"/>
                <w:iCs w:val="0"/>
                <w:color w:val="auto"/>
                <w:sz w:val="24"/>
                <w:szCs w:val="24"/>
                <w:u w:val="single"/>
                <w:lang w:val="en-US" w:eastAsia="zh-CN"/>
              </w:rPr>
              <w:t>T300</w:t>
            </w:r>
          </w:p>
        </w:tc>
        <w:tc>
          <w:tcPr>
            <w:tcW w:w="938"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滤波法</w:t>
            </w:r>
          </w:p>
        </w:tc>
        <w:tc>
          <w:tcPr>
            <w:tcW w:w="1107"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2014年1月1日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O</w:t>
            </w:r>
            <w:r>
              <w:rPr>
                <w:rFonts w:hint="eastAsia" w:cs="Times New Roman"/>
                <w:b w:val="0"/>
                <w:bCs w:val="0"/>
                <w:i w:val="0"/>
                <w:iCs w:val="0"/>
                <w:color w:val="auto"/>
                <w:sz w:val="24"/>
                <w:szCs w:val="24"/>
                <w:u w:val="none"/>
                <w:vertAlign w:val="subscript"/>
                <w:lang w:val="en-US" w:eastAsia="zh-CN"/>
              </w:rPr>
              <w:t>3</w:t>
            </w:r>
          </w:p>
        </w:tc>
        <w:tc>
          <w:tcPr>
            <w:tcW w:w="1225" w:type="dxa"/>
            <w:vAlign w:val="center"/>
          </w:tcPr>
          <w:p>
            <w:pPr>
              <w:adjustRightInd w:val="0"/>
              <w:snapToGrid w:val="0"/>
              <w:jc w:val="center"/>
              <w:rPr>
                <w:rFonts w:hint="default" w:cs="Times New Roman"/>
                <w:b/>
                <w:bCs/>
                <w:i w:val="0"/>
                <w:iCs w:val="0"/>
                <w:color w:val="auto"/>
                <w:sz w:val="24"/>
                <w:szCs w:val="24"/>
                <w:u w:val="single"/>
                <w:lang w:val="en-US" w:eastAsia="zh-CN"/>
              </w:rPr>
            </w:pPr>
            <w:r>
              <w:rPr>
                <w:rFonts w:hint="eastAsia" w:cs="Times New Roman"/>
                <w:b/>
                <w:bCs/>
                <w:i w:val="0"/>
                <w:iCs w:val="0"/>
                <w:color w:val="auto"/>
                <w:sz w:val="24"/>
                <w:szCs w:val="24"/>
                <w:u w:val="single"/>
                <w:lang w:val="en-US" w:eastAsia="zh-CN"/>
              </w:rPr>
              <w:t>API</w:t>
            </w:r>
          </w:p>
        </w:tc>
        <w:tc>
          <w:tcPr>
            <w:tcW w:w="937" w:type="dxa"/>
            <w:vAlign w:val="center"/>
          </w:tcPr>
          <w:p>
            <w:pPr>
              <w:adjustRightInd w:val="0"/>
              <w:snapToGrid w:val="0"/>
              <w:jc w:val="center"/>
              <w:rPr>
                <w:rFonts w:hint="default" w:cs="Times New Roman"/>
                <w:b/>
                <w:bCs/>
                <w:i w:val="0"/>
                <w:iCs w:val="0"/>
                <w:color w:val="auto"/>
                <w:sz w:val="24"/>
                <w:szCs w:val="24"/>
                <w:u w:val="single"/>
                <w:lang w:val="en-US" w:eastAsia="zh-CN"/>
              </w:rPr>
            </w:pPr>
            <w:r>
              <w:rPr>
                <w:rFonts w:hint="eastAsia" w:cs="Times New Roman"/>
                <w:b/>
                <w:bCs/>
                <w:i w:val="0"/>
                <w:iCs w:val="0"/>
                <w:color w:val="auto"/>
                <w:sz w:val="24"/>
                <w:szCs w:val="24"/>
                <w:u w:val="single"/>
                <w:lang w:val="en-US" w:eastAsia="zh-CN"/>
              </w:rPr>
              <w:t>T400</w:t>
            </w:r>
          </w:p>
        </w:tc>
        <w:tc>
          <w:tcPr>
            <w:tcW w:w="938"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紫外吸收法</w:t>
            </w:r>
          </w:p>
        </w:tc>
        <w:tc>
          <w:tcPr>
            <w:tcW w:w="1107"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2014年1月1日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restart"/>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松江河中心幼儿园</w:t>
            </w:r>
          </w:p>
        </w:tc>
        <w:tc>
          <w:tcPr>
            <w:tcW w:w="786" w:type="dxa"/>
            <w:vMerge w:val="restart"/>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420m</w:t>
            </w:r>
          </w:p>
        </w:tc>
        <w:tc>
          <w:tcPr>
            <w:tcW w:w="786" w:type="dxa"/>
            <w:vMerge w:val="restart"/>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425m</w:t>
            </w:r>
          </w:p>
        </w:tc>
        <w:tc>
          <w:tcPr>
            <w:tcW w:w="786"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PM</w:t>
            </w:r>
            <w:r>
              <w:rPr>
                <w:rFonts w:hint="eastAsia" w:cs="Times New Roman"/>
                <w:b w:val="0"/>
                <w:bCs w:val="0"/>
                <w:i w:val="0"/>
                <w:iCs w:val="0"/>
                <w:color w:val="auto"/>
                <w:sz w:val="24"/>
                <w:szCs w:val="24"/>
                <w:u w:val="none"/>
                <w:vertAlign w:val="subscript"/>
                <w:lang w:val="en-US" w:eastAsia="zh-CN"/>
              </w:rPr>
              <w:t>10</w:t>
            </w:r>
          </w:p>
        </w:tc>
        <w:tc>
          <w:tcPr>
            <w:tcW w:w="1225" w:type="dxa"/>
            <w:vAlign w:val="center"/>
          </w:tcPr>
          <w:p>
            <w:pPr>
              <w:adjustRightInd w:val="0"/>
              <w:snapToGrid w:val="0"/>
              <w:jc w:val="center"/>
              <w:rPr>
                <w:rFonts w:hint="default" w:ascii="Times New Roman" w:hAnsi="Times New Roman" w:eastAsia="宋体" w:cs="Times New Roman"/>
                <w:b/>
                <w:bCs/>
                <w:i w:val="0"/>
                <w:iCs w:val="0"/>
                <w:color w:val="auto"/>
                <w:kern w:val="2"/>
                <w:sz w:val="24"/>
                <w:szCs w:val="24"/>
                <w:u w:val="single"/>
                <w:lang w:val="en-US" w:eastAsia="zh-CN" w:bidi="ar-SA"/>
              </w:rPr>
            </w:pPr>
            <w:r>
              <w:rPr>
                <w:rFonts w:hint="eastAsia" w:cs="Times New Roman"/>
                <w:b/>
                <w:bCs/>
                <w:i w:val="0"/>
                <w:iCs w:val="0"/>
                <w:color w:val="auto"/>
                <w:sz w:val="24"/>
                <w:szCs w:val="24"/>
                <w:u w:val="single"/>
                <w:lang w:val="en-US" w:eastAsia="zh-CN"/>
              </w:rPr>
              <w:t>METONE</w:t>
            </w:r>
          </w:p>
        </w:tc>
        <w:tc>
          <w:tcPr>
            <w:tcW w:w="937" w:type="dxa"/>
            <w:vAlign w:val="center"/>
          </w:tcPr>
          <w:p>
            <w:pPr>
              <w:adjustRightInd w:val="0"/>
              <w:snapToGrid w:val="0"/>
              <w:jc w:val="center"/>
              <w:rPr>
                <w:rFonts w:hint="default" w:ascii="Times New Roman" w:hAnsi="Times New Roman" w:eastAsia="宋体" w:cs="Times New Roman"/>
                <w:b/>
                <w:bCs/>
                <w:i w:val="0"/>
                <w:iCs w:val="0"/>
                <w:color w:val="auto"/>
                <w:kern w:val="2"/>
                <w:sz w:val="24"/>
                <w:szCs w:val="24"/>
                <w:u w:val="single"/>
                <w:lang w:val="en-US" w:eastAsia="zh-CN" w:bidi="ar-SA"/>
              </w:rPr>
            </w:pPr>
            <w:r>
              <w:rPr>
                <w:rFonts w:hint="eastAsia" w:cs="Times New Roman"/>
                <w:b/>
                <w:bCs/>
                <w:i w:val="0"/>
                <w:iCs w:val="0"/>
                <w:color w:val="auto"/>
                <w:sz w:val="24"/>
                <w:szCs w:val="24"/>
                <w:u w:val="single"/>
                <w:lang w:val="en-US" w:eastAsia="zh-CN"/>
              </w:rPr>
              <w:t>BAM-1020</w:t>
            </w:r>
          </w:p>
        </w:tc>
        <w:tc>
          <w:tcPr>
            <w:tcW w:w="938"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β射线衰减法</w:t>
            </w:r>
          </w:p>
        </w:tc>
        <w:tc>
          <w:tcPr>
            <w:tcW w:w="1107"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2017年1月1日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PM</w:t>
            </w:r>
            <w:r>
              <w:rPr>
                <w:rFonts w:hint="eastAsia" w:cs="Times New Roman"/>
                <w:b w:val="0"/>
                <w:bCs w:val="0"/>
                <w:i w:val="0"/>
                <w:iCs w:val="0"/>
                <w:color w:val="auto"/>
                <w:sz w:val="24"/>
                <w:szCs w:val="24"/>
                <w:u w:val="none"/>
                <w:vertAlign w:val="subscript"/>
                <w:lang w:val="en-US" w:eastAsia="zh-CN"/>
              </w:rPr>
              <w:t>2.5</w:t>
            </w:r>
          </w:p>
        </w:tc>
        <w:tc>
          <w:tcPr>
            <w:tcW w:w="1225" w:type="dxa"/>
            <w:vAlign w:val="center"/>
          </w:tcPr>
          <w:p>
            <w:pPr>
              <w:adjustRightInd w:val="0"/>
              <w:snapToGrid w:val="0"/>
              <w:jc w:val="center"/>
              <w:rPr>
                <w:rFonts w:hint="default" w:ascii="Times New Roman" w:hAnsi="Times New Roman" w:eastAsia="宋体" w:cs="Times New Roman"/>
                <w:b/>
                <w:bCs/>
                <w:i w:val="0"/>
                <w:iCs w:val="0"/>
                <w:color w:val="auto"/>
                <w:kern w:val="2"/>
                <w:sz w:val="24"/>
                <w:szCs w:val="24"/>
                <w:u w:val="single"/>
                <w:lang w:val="en-US" w:eastAsia="zh-CN" w:bidi="ar-SA"/>
              </w:rPr>
            </w:pPr>
            <w:r>
              <w:rPr>
                <w:rFonts w:hint="eastAsia" w:cs="Times New Roman"/>
                <w:b/>
                <w:bCs/>
                <w:i w:val="0"/>
                <w:iCs w:val="0"/>
                <w:color w:val="auto"/>
                <w:sz w:val="24"/>
                <w:szCs w:val="24"/>
                <w:u w:val="single"/>
                <w:lang w:val="en-US" w:eastAsia="zh-CN"/>
              </w:rPr>
              <w:t>先河</w:t>
            </w:r>
          </w:p>
        </w:tc>
        <w:tc>
          <w:tcPr>
            <w:tcW w:w="937" w:type="dxa"/>
            <w:vAlign w:val="center"/>
          </w:tcPr>
          <w:p>
            <w:pPr>
              <w:adjustRightInd w:val="0"/>
              <w:snapToGrid w:val="0"/>
              <w:jc w:val="center"/>
              <w:rPr>
                <w:rFonts w:hint="default" w:ascii="Times New Roman" w:hAnsi="Times New Roman" w:eastAsia="宋体" w:cs="Times New Roman"/>
                <w:b/>
                <w:bCs/>
                <w:i w:val="0"/>
                <w:iCs w:val="0"/>
                <w:color w:val="auto"/>
                <w:kern w:val="2"/>
                <w:sz w:val="24"/>
                <w:szCs w:val="24"/>
                <w:u w:val="single"/>
                <w:lang w:val="en-US" w:eastAsia="zh-CN" w:bidi="ar-SA"/>
              </w:rPr>
            </w:pPr>
            <w:r>
              <w:rPr>
                <w:rFonts w:hint="eastAsia" w:cs="Times New Roman"/>
                <w:b/>
                <w:bCs/>
                <w:i w:val="0"/>
                <w:iCs w:val="0"/>
                <w:color w:val="auto"/>
                <w:sz w:val="24"/>
                <w:szCs w:val="24"/>
                <w:u w:val="single"/>
                <w:lang w:val="en-US" w:eastAsia="zh-CN"/>
              </w:rPr>
              <w:t>XNPM2000E</w:t>
            </w:r>
          </w:p>
        </w:tc>
        <w:tc>
          <w:tcPr>
            <w:tcW w:w="938"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β射线衰减法</w:t>
            </w:r>
          </w:p>
        </w:tc>
        <w:tc>
          <w:tcPr>
            <w:tcW w:w="1107"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2017年1月1日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SO</w:t>
            </w:r>
            <w:r>
              <w:rPr>
                <w:rFonts w:hint="eastAsia" w:cs="Times New Roman"/>
                <w:b w:val="0"/>
                <w:bCs w:val="0"/>
                <w:i w:val="0"/>
                <w:iCs w:val="0"/>
                <w:color w:val="auto"/>
                <w:sz w:val="24"/>
                <w:szCs w:val="24"/>
                <w:u w:val="none"/>
                <w:vertAlign w:val="subscript"/>
                <w:lang w:val="en-US" w:eastAsia="zh-CN"/>
              </w:rPr>
              <w:t>2</w:t>
            </w:r>
          </w:p>
        </w:tc>
        <w:tc>
          <w:tcPr>
            <w:tcW w:w="1225" w:type="dxa"/>
            <w:vAlign w:val="center"/>
          </w:tcPr>
          <w:p>
            <w:pPr>
              <w:adjustRightInd w:val="0"/>
              <w:snapToGrid w:val="0"/>
              <w:jc w:val="center"/>
              <w:rPr>
                <w:rFonts w:hint="default" w:ascii="Times New Roman" w:hAnsi="Times New Roman" w:eastAsia="宋体" w:cs="Times New Roman"/>
                <w:b/>
                <w:bCs/>
                <w:i w:val="0"/>
                <w:iCs w:val="0"/>
                <w:color w:val="auto"/>
                <w:kern w:val="2"/>
                <w:sz w:val="24"/>
                <w:szCs w:val="24"/>
                <w:u w:val="single"/>
                <w:lang w:val="en-US" w:eastAsia="zh-CN" w:bidi="ar-SA"/>
              </w:rPr>
            </w:pPr>
            <w:r>
              <w:rPr>
                <w:rFonts w:hint="eastAsia" w:cs="Times New Roman"/>
                <w:b/>
                <w:bCs/>
                <w:i w:val="0"/>
                <w:iCs w:val="0"/>
                <w:color w:val="auto"/>
                <w:sz w:val="24"/>
                <w:szCs w:val="24"/>
                <w:u w:val="single"/>
                <w:lang w:val="en-US" w:eastAsia="zh-CN"/>
              </w:rPr>
              <w:t>API</w:t>
            </w:r>
          </w:p>
        </w:tc>
        <w:tc>
          <w:tcPr>
            <w:tcW w:w="937" w:type="dxa"/>
            <w:vAlign w:val="center"/>
          </w:tcPr>
          <w:p>
            <w:pPr>
              <w:adjustRightInd w:val="0"/>
              <w:snapToGrid w:val="0"/>
              <w:jc w:val="center"/>
              <w:rPr>
                <w:rFonts w:hint="default" w:ascii="Times New Roman" w:hAnsi="Times New Roman" w:eastAsia="宋体" w:cs="Times New Roman"/>
                <w:b/>
                <w:bCs/>
                <w:i w:val="0"/>
                <w:iCs w:val="0"/>
                <w:color w:val="auto"/>
                <w:kern w:val="2"/>
                <w:sz w:val="24"/>
                <w:szCs w:val="24"/>
                <w:u w:val="single"/>
                <w:lang w:val="en-US" w:eastAsia="zh-CN" w:bidi="ar-SA"/>
              </w:rPr>
            </w:pPr>
            <w:r>
              <w:rPr>
                <w:rFonts w:hint="eastAsia" w:cs="Times New Roman"/>
                <w:b/>
                <w:bCs/>
                <w:i w:val="0"/>
                <w:iCs w:val="0"/>
                <w:color w:val="auto"/>
                <w:sz w:val="24"/>
                <w:szCs w:val="24"/>
                <w:u w:val="single"/>
                <w:lang w:val="en-US" w:eastAsia="zh-CN"/>
              </w:rPr>
              <w:t>T100</w:t>
            </w:r>
          </w:p>
        </w:tc>
        <w:tc>
          <w:tcPr>
            <w:tcW w:w="938"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 xml:space="preserve">紫外荧光法 </w:t>
            </w:r>
          </w:p>
        </w:tc>
        <w:tc>
          <w:tcPr>
            <w:tcW w:w="1107"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2017年1月1日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NO</w:t>
            </w:r>
            <w:r>
              <w:rPr>
                <w:rFonts w:hint="eastAsia" w:cs="Times New Roman"/>
                <w:b w:val="0"/>
                <w:bCs w:val="0"/>
                <w:i w:val="0"/>
                <w:iCs w:val="0"/>
                <w:color w:val="auto"/>
                <w:sz w:val="24"/>
                <w:szCs w:val="24"/>
                <w:u w:val="none"/>
                <w:vertAlign w:val="subscript"/>
                <w:lang w:val="en-US" w:eastAsia="zh-CN"/>
              </w:rPr>
              <w:t>2</w:t>
            </w:r>
          </w:p>
        </w:tc>
        <w:tc>
          <w:tcPr>
            <w:tcW w:w="1225" w:type="dxa"/>
            <w:vAlign w:val="center"/>
          </w:tcPr>
          <w:p>
            <w:pPr>
              <w:adjustRightInd w:val="0"/>
              <w:snapToGrid w:val="0"/>
              <w:jc w:val="center"/>
              <w:rPr>
                <w:rFonts w:hint="default" w:ascii="Times New Roman" w:hAnsi="Times New Roman" w:eastAsia="宋体" w:cs="Times New Roman"/>
                <w:b/>
                <w:bCs/>
                <w:i w:val="0"/>
                <w:iCs w:val="0"/>
                <w:color w:val="auto"/>
                <w:kern w:val="2"/>
                <w:sz w:val="24"/>
                <w:szCs w:val="24"/>
                <w:u w:val="single"/>
                <w:lang w:val="en-US" w:eastAsia="zh-CN" w:bidi="ar-SA"/>
              </w:rPr>
            </w:pPr>
            <w:r>
              <w:rPr>
                <w:rFonts w:hint="eastAsia" w:cs="Times New Roman"/>
                <w:b/>
                <w:bCs/>
                <w:i w:val="0"/>
                <w:iCs w:val="0"/>
                <w:color w:val="auto"/>
                <w:sz w:val="24"/>
                <w:szCs w:val="24"/>
                <w:u w:val="single"/>
                <w:lang w:val="en-US" w:eastAsia="zh-CN"/>
              </w:rPr>
              <w:t>API</w:t>
            </w:r>
          </w:p>
        </w:tc>
        <w:tc>
          <w:tcPr>
            <w:tcW w:w="937" w:type="dxa"/>
            <w:vAlign w:val="center"/>
          </w:tcPr>
          <w:p>
            <w:pPr>
              <w:adjustRightInd w:val="0"/>
              <w:snapToGrid w:val="0"/>
              <w:jc w:val="center"/>
              <w:rPr>
                <w:rFonts w:hint="default" w:ascii="Times New Roman" w:hAnsi="Times New Roman" w:eastAsia="宋体" w:cs="Times New Roman"/>
                <w:b/>
                <w:bCs/>
                <w:i w:val="0"/>
                <w:iCs w:val="0"/>
                <w:color w:val="auto"/>
                <w:kern w:val="2"/>
                <w:sz w:val="24"/>
                <w:szCs w:val="24"/>
                <w:u w:val="single"/>
                <w:lang w:val="en-US" w:eastAsia="zh-CN" w:bidi="ar-SA"/>
              </w:rPr>
            </w:pPr>
            <w:r>
              <w:rPr>
                <w:rFonts w:hint="eastAsia" w:cs="Times New Roman"/>
                <w:b/>
                <w:bCs/>
                <w:i w:val="0"/>
                <w:iCs w:val="0"/>
                <w:color w:val="auto"/>
                <w:sz w:val="24"/>
                <w:szCs w:val="24"/>
                <w:u w:val="single"/>
                <w:lang w:val="en-US" w:eastAsia="zh-CN"/>
              </w:rPr>
              <w:t>T200</w:t>
            </w:r>
          </w:p>
        </w:tc>
        <w:tc>
          <w:tcPr>
            <w:tcW w:w="938"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化学法光法</w:t>
            </w:r>
          </w:p>
        </w:tc>
        <w:tc>
          <w:tcPr>
            <w:tcW w:w="1107"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2017年1月1日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CO</w:t>
            </w:r>
          </w:p>
        </w:tc>
        <w:tc>
          <w:tcPr>
            <w:tcW w:w="1225" w:type="dxa"/>
            <w:vAlign w:val="center"/>
          </w:tcPr>
          <w:p>
            <w:pPr>
              <w:adjustRightInd w:val="0"/>
              <w:snapToGrid w:val="0"/>
              <w:jc w:val="center"/>
              <w:rPr>
                <w:rFonts w:hint="default" w:ascii="Times New Roman" w:hAnsi="Times New Roman" w:eastAsia="宋体" w:cs="Times New Roman"/>
                <w:b/>
                <w:bCs/>
                <w:i w:val="0"/>
                <w:iCs w:val="0"/>
                <w:color w:val="auto"/>
                <w:kern w:val="2"/>
                <w:sz w:val="24"/>
                <w:szCs w:val="24"/>
                <w:u w:val="single"/>
                <w:lang w:val="en-US" w:eastAsia="zh-CN" w:bidi="ar-SA"/>
              </w:rPr>
            </w:pPr>
            <w:r>
              <w:rPr>
                <w:rFonts w:hint="eastAsia" w:cs="Times New Roman"/>
                <w:b/>
                <w:bCs/>
                <w:i w:val="0"/>
                <w:iCs w:val="0"/>
                <w:color w:val="auto"/>
                <w:sz w:val="24"/>
                <w:szCs w:val="24"/>
                <w:u w:val="single"/>
                <w:lang w:val="en-US" w:eastAsia="zh-CN"/>
              </w:rPr>
              <w:t>API</w:t>
            </w:r>
          </w:p>
        </w:tc>
        <w:tc>
          <w:tcPr>
            <w:tcW w:w="937" w:type="dxa"/>
            <w:vAlign w:val="center"/>
          </w:tcPr>
          <w:p>
            <w:pPr>
              <w:adjustRightInd w:val="0"/>
              <w:snapToGrid w:val="0"/>
              <w:jc w:val="center"/>
              <w:rPr>
                <w:rFonts w:hint="default" w:ascii="Times New Roman" w:hAnsi="Times New Roman" w:eastAsia="宋体" w:cs="Times New Roman"/>
                <w:b/>
                <w:bCs/>
                <w:i w:val="0"/>
                <w:iCs w:val="0"/>
                <w:color w:val="auto"/>
                <w:kern w:val="2"/>
                <w:sz w:val="24"/>
                <w:szCs w:val="24"/>
                <w:u w:val="single"/>
                <w:lang w:val="en-US" w:eastAsia="zh-CN" w:bidi="ar-SA"/>
              </w:rPr>
            </w:pPr>
            <w:r>
              <w:rPr>
                <w:rFonts w:hint="eastAsia" w:cs="Times New Roman"/>
                <w:b/>
                <w:bCs/>
                <w:i w:val="0"/>
                <w:iCs w:val="0"/>
                <w:color w:val="auto"/>
                <w:sz w:val="24"/>
                <w:szCs w:val="24"/>
                <w:u w:val="single"/>
                <w:lang w:val="en-US" w:eastAsia="zh-CN"/>
              </w:rPr>
              <w:t>T300</w:t>
            </w:r>
          </w:p>
        </w:tc>
        <w:tc>
          <w:tcPr>
            <w:tcW w:w="938"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滤波法</w:t>
            </w:r>
          </w:p>
        </w:tc>
        <w:tc>
          <w:tcPr>
            <w:tcW w:w="1107"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2017年1月1日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Merge w:val="continue"/>
            <w:vAlign w:val="center"/>
          </w:tcPr>
          <w:p>
            <w:pPr>
              <w:adjustRightInd w:val="0"/>
              <w:snapToGrid w:val="0"/>
              <w:jc w:val="center"/>
              <w:rPr>
                <w:rFonts w:hint="default" w:cs="Times New Roman"/>
                <w:b w:val="0"/>
                <w:bCs w:val="0"/>
                <w:i w:val="0"/>
                <w:iCs w:val="0"/>
                <w:color w:val="auto"/>
                <w:sz w:val="24"/>
                <w:szCs w:val="24"/>
                <w:u w:val="none"/>
                <w:lang w:val="en-US" w:eastAsia="zh-CN"/>
              </w:rPr>
            </w:pPr>
          </w:p>
        </w:tc>
        <w:tc>
          <w:tcPr>
            <w:tcW w:w="786" w:type="dxa"/>
            <w:vAlign w:val="center"/>
          </w:tcPr>
          <w:p>
            <w:pPr>
              <w:adjustRightInd w:val="0"/>
              <w:snapToGrid w:val="0"/>
              <w:jc w:val="center"/>
              <w:rPr>
                <w:rFonts w:hint="default"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O</w:t>
            </w:r>
            <w:r>
              <w:rPr>
                <w:rFonts w:hint="eastAsia" w:cs="Times New Roman"/>
                <w:b w:val="0"/>
                <w:bCs w:val="0"/>
                <w:i w:val="0"/>
                <w:iCs w:val="0"/>
                <w:color w:val="auto"/>
                <w:sz w:val="24"/>
                <w:szCs w:val="24"/>
                <w:u w:val="none"/>
                <w:vertAlign w:val="subscript"/>
                <w:lang w:val="en-US" w:eastAsia="zh-CN"/>
              </w:rPr>
              <w:t>3</w:t>
            </w:r>
          </w:p>
        </w:tc>
        <w:tc>
          <w:tcPr>
            <w:tcW w:w="1225" w:type="dxa"/>
            <w:vAlign w:val="center"/>
          </w:tcPr>
          <w:p>
            <w:pPr>
              <w:adjustRightInd w:val="0"/>
              <w:snapToGrid w:val="0"/>
              <w:jc w:val="center"/>
              <w:rPr>
                <w:rFonts w:hint="default" w:ascii="Times New Roman" w:hAnsi="Times New Roman" w:eastAsia="宋体" w:cs="Times New Roman"/>
                <w:b/>
                <w:bCs/>
                <w:i w:val="0"/>
                <w:iCs w:val="0"/>
                <w:color w:val="auto"/>
                <w:kern w:val="2"/>
                <w:sz w:val="24"/>
                <w:szCs w:val="24"/>
                <w:u w:val="single"/>
                <w:lang w:val="en-US" w:eastAsia="zh-CN" w:bidi="ar-SA"/>
              </w:rPr>
            </w:pPr>
            <w:r>
              <w:rPr>
                <w:rFonts w:hint="eastAsia" w:cs="Times New Roman"/>
                <w:b/>
                <w:bCs/>
                <w:i w:val="0"/>
                <w:iCs w:val="0"/>
                <w:color w:val="auto"/>
                <w:sz w:val="24"/>
                <w:szCs w:val="24"/>
                <w:u w:val="single"/>
                <w:lang w:val="en-US" w:eastAsia="zh-CN"/>
              </w:rPr>
              <w:t>API</w:t>
            </w:r>
          </w:p>
        </w:tc>
        <w:tc>
          <w:tcPr>
            <w:tcW w:w="937" w:type="dxa"/>
            <w:vAlign w:val="center"/>
          </w:tcPr>
          <w:p>
            <w:pPr>
              <w:adjustRightInd w:val="0"/>
              <w:snapToGrid w:val="0"/>
              <w:jc w:val="center"/>
              <w:rPr>
                <w:rFonts w:hint="default" w:ascii="Times New Roman" w:hAnsi="Times New Roman" w:eastAsia="宋体" w:cs="Times New Roman"/>
                <w:b/>
                <w:bCs/>
                <w:i w:val="0"/>
                <w:iCs w:val="0"/>
                <w:color w:val="auto"/>
                <w:kern w:val="2"/>
                <w:sz w:val="24"/>
                <w:szCs w:val="24"/>
                <w:u w:val="single"/>
                <w:lang w:val="en-US" w:eastAsia="zh-CN" w:bidi="ar-SA"/>
              </w:rPr>
            </w:pPr>
            <w:r>
              <w:rPr>
                <w:rFonts w:hint="eastAsia" w:cs="Times New Roman"/>
                <w:b/>
                <w:bCs/>
                <w:i w:val="0"/>
                <w:iCs w:val="0"/>
                <w:color w:val="auto"/>
                <w:sz w:val="24"/>
                <w:szCs w:val="24"/>
                <w:u w:val="single"/>
                <w:lang w:val="en-US" w:eastAsia="zh-CN"/>
              </w:rPr>
              <w:t>T400</w:t>
            </w:r>
          </w:p>
        </w:tc>
        <w:tc>
          <w:tcPr>
            <w:tcW w:w="938"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紫外吸收法</w:t>
            </w:r>
          </w:p>
        </w:tc>
        <w:tc>
          <w:tcPr>
            <w:tcW w:w="1107" w:type="dxa"/>
            <w:vAlign w:val="center"/>
          </w:tcPr>
          <w:p>
            <w:pPr>
              <w:adjustRightInd w:val="0"/>
              <w:snapToGrid w:val="0"/>
              <w:jc w:val="center"/>
              <w:rPr>
                <w:rFonts w:hint="default" w:ascii="Times New Roman" w:hAnsi="Times New Roman" w:eastAsia="宋体" w:cs="Times New Roman"/>
                <w:b w:val="0"/>
                <w:bCs w:val="0"/>
                <w:i w:val="0"/>
                <w:iCs w:val="0"/>
                <w:color w:val="auto"/>
                <w:kern w:val="2"/>
                <w:sz w:val="24"/>
                <w:szCs w:val="24"/>
                <w:u w:val="none"/>
                <w:lang w:val="en-US" w:eastAsia="zh-CN" w:bidi="ar-SA"/>
              </w:rPr>
            </w:pPr>
            <w:r>
              <w:rPr>
                <w:rFonts w:hint="eastAsia" w:cs="Times New Roman"/>
                <w:b w:val="0"/>
                <w:bCs w:val="0"/>
                <w:i w:val="0"/>
                <w:iCs w:val="0"/>
                <w:color w:val="auto"/>
                <w:sz w:val="24"/>
                <w:szCs w:val="24"/>
                <w:u w:val="none"/>
                <w:lang w:val="en-US" w:eastAsia="zh-CN"/>
              </w:rPr>
              <w:t>2017年1月1日</w:t>
            </w:r>
          </w:p>
        </w:tc>
      </w:tr>
    </w:tbl>
    <w:p>
      <w:pPr>
        <w:adjustRightInd w:val="0"/>
        <w:snapToGrid w:val="0"/>
        <w:jc w:val="left"/>
        <w:rPr>
          <w:rFonts w:hint="default" w:cs="Times New Roman"/>
          <w:b/>
          <w:bCs/>
          <w:i w:val="0"/>
          <w:iCs w:val="0"/>
          <w:color w:val="auto"/>
          <w:sz w:val="24"/>
          <w:szCs w:val="24"/>
          <w:u w:val="single"/>
          <w:lang w:val="en-US" w:eastAsia="zh-CN"/>
        </w:rPr>
      </w:pPr>
      <w:r>
        <w:rPr>
          <w:rFonts w:hint="eastAsia" w:cs="Times New Roman"/>
          <w:b/>
          <w:bCs/>
          <w:i w:val="0"/>
          <w:iCs w:val="0"/>
          <w:color w:val="auto"/>
          <w:sz w:val="24"/>
          <w:szCs w:val="24"/>
          <w:u w:val="single"/>
          <w:lang w:val="en-US" w:eastAsia="zh-CN"/>
        </w:rPr>
        <w:t>注：应急监测设备由监测单位保管及操作。</w:t>
      </w:r>
    </w:p>
    <w:p>
      <w:pPr>
        <w:pStyle w:val="26"/>
        <w:rPr>
          <w:rFonts w:hint="default"/>
          <w:color w:val="auto"/>
          <w:lang w:val="en-US" w:eastAsia="zh-CN"/>
        </w:rPr>
      </w:pPr>
    </w:p>
    <w:p>
      <w:pPr>
        <w:pStyle w:val="26"/>
        <w:rPr>
          <w:rFonts w:hint="default"/>
          <w:color w:val="auto"/>
          <w:lang w:val="en-US" w:eastAsia="zh-CN"/>
        </w:rPr>
      </w:pPr>
    </w:p>
    <w:p>
      <w:pPr>
        <w:pStyle w:val="26"/>
        <w:rPr>
          <w:rFonts w:hint="default"/>
          <w:color w:val="auto"/>
          <w:lang w:val="en-US" w:eastAsia="zh-CN"/>
        </w:rPr>
      </w:pPr>
    </w:p>
    <w:p>
      <w:pPr>
        <w:pStyle w:val="26"/>
        <w:rPr>
          <w:rFonts w:hint="default"/>
          <w:color w:val="auto"/>
          <w:lang w:val="en-US" w:eastAsia="zh-CN"/>
        </w:rPr>
      </w:pPr>
    </w:p>
    <w:p>
      <w:pPr>
        <w:pStyle w:val="26"/>
        <w:rPr>
          <w:rFonts w:hint="default"/>
          <w:color w:val="auto"/>
          <w:lang w:val="en-US" w:eastAsia="zh-CN"/>
        </w:rPr>
      </w:pPr>
    </w:p>
    <w:p>
      <w:pPr>
        <w:pStyle w:val="26"/>
        <w:rPr>
          <w:rFonts w:hint="default"/>
          <w:color w:val="auto"/>
          <w:lang w:val="en-US" w:eastAsia="zh-CN"/>
        </w:rPr>
      </w:pPr>
    </w:p>
    <w:p>
      <w:pPr>
        <w:pStyle w:val="26"/>
        <w:rPr>
          <w:rFonts w:hint="default"/>
          <w:color w:val="auto"/>
          <w:lang w:val="en-US" w:eastAsia="zh-CN"/>
        </w:rPr>
      </w:pPr>
    </w:p>
    <w:p>
      <w:pPr>
        <w:pStyle w:val="26"/>
        <w:rPr>
          <w:rFonts w:hint="default"/>
          <w:color w:val="auto"/>
          <w:lang w:val="en-US" w:eastAsia="zh-CN"/>
        </w:rPr>
        <w:sectPr>
          <w:pgSz w:w="11906" w:h="16838"/>
          <w:pgMar w:top="1417" w:right="1797" w:bottom="1417" w:left="1797" w:header="851" w:footer="850"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rPr>
          <w:rFonts w:hint="eastAsia"/>
          <w:b/>
          <w:bCs/>
          <w:color w:val="auto"/>
          <w:sz w:val="24"/>
          <w:szCs w:val="24"/>
          <w:lang w:val="en-US" w:eastAsia="zh-CN"/>
        </w:rPr>
      </w:pPr>
      <w:r>
        <w:rPr>
          <w:rFonts w:hint="eastAsia"/>
          <w:b/>
          <w:bCs/>
          <w:color w:val="auto"/>
          <w:sz w:val="24"/>
          <w:szCs w:val="24"/>
          <w:lang w:val="en-US" w:eastAsia="zh-CN"/>
        </w:rPr>
        <w:t>附件7：</w:t>
      </w:r>
    </w:p>
    <w:p>
      <w:pPr>
        <w:bidi w:val="0"/>
        <w:jc w:val="center"/>
        <w:rPr>
          <w:rFonts w:hint="eastAsia"/>
          <w:color w:val="auto"/>
          <w:lang w:val="en-US" w:eastAsia="zh-CN"/>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422275</wp:posOffset>
                </wp:positionH>
                <wp:positionV relativeFrom="paragraph">
                  <wp:posOffset>5594350</wp:posOffset>
                </wp:positionV>
                <wp:extent cx="8191500" cy="4191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8191500" cy="419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ascii="Times New Roman" w:hAnsi="Times New Roman" w:cs="Times New Roman" w:eastAsiaTheme="minorEastAsia"/>
                                <w:b/>
                                <w:bCs/>
                                <w:sz w:val="32"/>
                                <w:szCs w:val="32"/>
                                <w:lang w:val="en-US" w:eastAsia="zh-CN"/>
                              </w:rPr>
                            </w:pPr>
                            <w:r>
                              <w:rPr>
                                <w:rFonts w:hint="eastAsia" w:ascii="Times New Roman" w:hAnsi="Times New Roman" w:cs="Times New Roman"/>
                                <w:b/>
                                <w:bCs/>
                                <w:sz w:val="32"/>
                                <w:szCs w:val="32"/>
                                <w:lang w:val="en-US" w:eastAsia="zh-CN"/>
                              </w:rPr>
                              <w:t>抚松</w:t>
                            </w:r>
                            <w:r>
                              <w:rPr>
                                <w:rFonts w:hint="eastAsia" w:cs="Times New Roman"/>
                                <w:b/>
                                <w:bCs/>
                                <w:sz w:val="32"/>
                                <w:szCs w:val="32"/>
                                <w:lang w:val="en-US" w:eastAsia="zh-CN"/>
                              </w:rPr>
                              <w:t>县</w:t>
                            </w:r>
                            <w:r>
                              <w:rPr>
                                <w:rFonts w:hint="eastAsia" w:ascii="Times New Roman" w:hAnsi="Times New Roman" w:cs="Times New Roman"/>
                                <w:b/>
                                <w:bCs/>
                                <w:sz w:val="32"/>
                                <w:szCs w:val="32"/>
                                <w:lang w:val="en-US" w:eastAsia="zh-CN"/>
                              </w:rPr>
                              <w:t>重污染天气应急监测点位分布图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5pt;margin-top:440.5pt;height:33pt;width:645pt;z-index:251662336;mso-width-relative:page;mso-height-relative:page;" filled="f" stroked="f" coordsize="21600,21600" o:gfxdata="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6oVKdsAAAALAQAADwAAAAAAAAABACAAAAAiAAAAZHJz&#10;L2Rvd25yZXYueG1sUEsBAhQAFAAAAAgAh07iQC6Afr06AgAAZgQAAA4AAAAAAAAAAQAgAAAAKgEA&#10;AGRycy9lMm9Eb2MueG1sUEsFBgAAAAAGAAYAWQEAANYFAAAAAA==&#10;">
                <v:fill on="f" focussize="0,0"/>
                <v:stroke on="f" weight="0.5pt"/>
                <v:imagedata o:title=""/>
                <o:lock v:ext="edit" aspectratio="f"/>
                <v:textbox>
                  <w:txbxContent>
                    <w:p>
                      <w:pPr>
                        <w:spacing w:line="240" w:lineRule="auto"/>
                        <w:jc w:val="center"/>
                        <w:rPr>
                          <w:rFonts w:hint="default" w:ascii="Times New Roman" w:hAnsi="Times New Roman" w:cs="Times New Roman" w:eastAsiaTheme="minorEastAsia"/>
                          <w:b/>
                          <w:bCs/>
                          <w:sz w:val="32"/>
                          <w:szCs w:val="32"/>
                          <w:lang w:val="en-US" w:eastAsia="zh-CN"/>
                        </w:rPr>
                      </w:pPr>
                      <w:r>
                        <w:rPr>
                          <w:rFonts w:hint="eastAsia" w:ascii="Times New Roman" w:hAnsi="Times New Roman" w:cs="Times New Roman"/>
                          <w:b/>
                          <w:bCs/>
                          <w:sz w:val="32"/>
                          <w:szCs w:val="32"/>
                          <w:lang w:val="en-US" w:eastAsia="zh-CN"/>
                        </w:rPr>
                        <w:t>抚松</w:t>
                      </w:r>
                      <w:r>
                        <w:rPr>
                          <w:rFonts w:hint="eastAsia" w:cs="Times New Roman"/>
                          <w:b/>
                          <w:bCs/>
                          <w:sz w:val="32"/>
                          <w:szCs w:val="32"/>
                          <w:lang w:val="en-US" w:eastAsia="zh-CN"/>
                        </w:rPr>
                        <w:t>县</w:t>
                      </w:r>
                      <w:r>
                        <w:rPr>
                          <w:rFonts w:hint="eastAsia" w:ascii="Times New Roman" w:hAnsi="Times New Roman" w:cs="Times New Roman"/>
                          <w:b/>
                          <w:bCs/>
                          <w:sz w:val="32"/>
                          <w:szCs w:val="32"/>
                          <w:lang w:val="en-US" w:eastAsia="zh-CN"/>
                        </w:rPr>
                        <w:t>重污染天气应急监测点位分布图</w:t>
                      </w:r>
                    </w:p>
                  </w:txbxContent>
                </v:textbox>
              </v:shape>
            </w:pict>
          </mc:Fallback>
        </mc:AlternateContent>
      </w:r>
      <w:r>
        <w:rPr>
          <w:color w:val="auto"/>
        </w:rPr>
        <w:drawing>
          <wp:anchor distT="0" distB="0" distL="114300" distR="114300" simplePos="0" relativeHeight="251660288" behindDoc="0" locked="0" layoutInCell="1" allowOverlap="1">
            <wp:simplePos x="0" y="0"/>
            <wp:positionH relativeFrom="column">
              <wp:posOffset>7456170</wp:posOffset>
            </wp:positionH>
            <wp:positionV relativeFrom="paragraph">
              <wp:posOffset>5273040</wp:posOffset>
            </wp:positionV>
            <wp:extent cx="219075" cy="352425"/>
            <wp:effectExtent l="0" t="0" r="9525" b="952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219075" cy="352425"/>
                    </a:xfrm>
                    <a:prstGeom prst="rect">
                      <a:avLst/>
                    </a:prstGeom>
                    <a:noFill/>
                    <a:ln>
                      <a:noFill/>
                    </a:ln>
                  </pic:spPr>
                </pic:pic>
              </a:graphicData>
            </a:graphic>
          </wp:anchor>
        </w:drawing>
      </w: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7204075</wp:posOffset>
                </wp:positionH>
                <wp:positionV relativeFrom="paragraph">
                  <wp:posOffset>4947285</wp:posOffset>
                </wp:positionV>
                <wp:extent cx="1562100" cy="714375"/>
                <wp:effectExtent l="5080" t="4445" r="13970" b="5080"/>
                <wp:wrapNone/>
                <wp:docPr id="4" name="文本框 4"/>
                <wp:cNvGraphicFramePr/>
                <a:graphic xmlns:a="http://schemas.openxmlformats.org/drawingml/2006/main">
                  <a:graphicData uri="http://schemas.microsoft.com/office/word/2010/wordprocessingShape">
                    <wps:wsp>
                      <wps:cNvSpPr txBox="1"/>
                      <wps:spPr>
                        <a:xfrm>
                          <a:off x="8113395" y="5393055"/>
                          <a:ext cx="1562100" cy="714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lang w:val="en-US" w:eastAsia="zh-CN"/>
                              </w:rPr>
                            </w:pPr>
                            <w:r>
                              <w:rPr>
                                <w:rFonts w:hint="eastAsia"/>
                                <w:lang w:val="en-US" w:eastAsia="zh-CN"/>
                              </w:rPr>
                              <w:t>图   例</w:t>
                            </w:r>
                          </w:p>
                          <w:p>
                            <w:pPr>
                              <w:spacing w:line="360" w:lineRule="auto"/>
                              <w:jc w:val="center"/>
                              <w:rPr>
                                <w:rFonts w:hint="default"/>
                                <w:lang w:val="en-US" w:eastAsia="zh-CN"/>
                              </w:rPr>
                            </w:pPr>
                            <w:r>
                              <w:rPr>
                                <w:rFonts w:hint="eastAsia"/>
                                <w:lang w:val="en-US" w:eastAsia="zh-CN"/>
                              </w:rPr>
                              <w:t xml:space="preserve">        应急监测点位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7.25pt;margin-top:389.55pt;height:56.25pt;width:123pt;z-index:251659264;mso-width-relative:page;mso-height-relative:page;" fillcolor="#FFFFFF [3201]" filled="t" stroked="t" coordsize="21600,21600" o:gfxdata="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mtpZHZAAAADQEAAA8AAAAAAAAAAQAgAAAAIgAAAGRycy9kb3ducmV2LnhtbFBL&#10;AQIUABQAAAAIAIdO4kA+KC9wZwIAAMMEAAAOAAAAAAAAAAEAIAAAACgBAABkcnMvZTJvRG9jLnht&#10;bFBLBQYAAAAABgAGAFkBAAABBgAAAAA=&#10;">
                <v:fill on="t" focussize="0,0"/>
                <v:stroke weight="0.5pt" color="#000000 [3204]" joinstyle="round"/>
                <v:imagedata o:title=""/>
                <o:lock v:ext="edit" aspectratio="f"/>
                <v:textbox>
                  <w:txbxContent>
                    <w:p>
                      <w:pPr>
                        <w:spacing w:line="360" w:lineRule="auto"/>
                        <w:jc w:val="center"/>
                        <w:rPr>
                          <w:rFonts w:hint="eastAsia"/>
                          <w:lang w:val="en-US" w:eastAsia="zh-CN"/>
                        </w:rPr>
                      </w:pPr>
                      <w:r>
                        <w:rPr>
                          <w:rFonts w:hint="eastAsia"/>
                          <w:lang w:val="en-US" w:eastAsia="zh-CN"/>
                        </w:rPr>
                        <w:t>图   例</w:t>
                      </w:r>
                    </w:p>
                    <w:p>
                      <w:pPr>
                        <w:spacing w:line="360" w:lineRule="auto"/>
                        <w:jc w:val="center"/>
                        <w:rPr>
                          <w:rFonts w:hint="default"/>
                          <w:lang w:val="en-US" w:eastAsia="zh-CN"/>
                        </w:rPr>
                      </w:pPr>
                      <w:r>
                        <w:rPr>
                          <w:rFonts w:hint="eastAsia"/>
                          <w:lang w:val="en-US" w:eastAsia="zh-CN"/>
                        </w:rPr>
                        <w:t xml:space="preserve">        应急监测点位</w:t>
                      </w:r>
                    </w:p>
                  </w:txbxContent>
                </v:textbox>
              </v:shape>
            </w:pict>
          </mc:Fallback>
        </mc:AlternateContent>
      </w:r>
      <w:r>
        <w:rPr>
          <w:color w:val="auto"/>
        </w:rPr>
        <w:drawing>
          <wp:inline distT="0" distB="0" distL="114300" distR="114300">
            <wp:extent cx="8639810" cy="5579745"/>
            <wp:effectExtent l="31750" t="31750" r="34290" b="4635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6"/>
                    <a:stretch>
                      <a:fillRect/>
                    </a:stretch>
                  </pic:blipFill>
                  <pic:spPr>
                    <a:xfrm>
                      <a:off x="0" y="0"/>
                      <a:ext cx="8639810" cy="5579745"/>
                    </a:xfrm>
                    <a:prstGeom prst="rect">
                      <a:avLst/>
                    </a:prstGeom>
                    <a:noFill/>
                    <a:ln w="31750" cmpd="sng">
                      <a:solidFill>
                        <a:schemeClr val="tx1"/>
                      </a:solidFill>
                      <a:prstDash val="solid"/>
                    </a:ln>
                  </pic:spPr>
                </pic:pic>
              </a:graphicData>
            </a:graphic>
          </wp:inline>
        </w:drawing>
      </w:r>
    </w:p>
    <w:p>
      <w:pPr>
        <w:bidi w:val="0"/>
        <w:rPr>
          <w:rFonts w:hint="default"/>
          <w:color w:val="auto"/>
          <w:lang w:val="en-US" w:eastAsia="zh-CN"/>
        </w:rPr>
        <w:sectPr>
          <w:pgSz w:w="16838" w:h="11906" w:orient="landscape"/>
          <w:pgMar w:top="1134" w:right="1417" w:bottom="1134" w:left="1417" w:header="567" w:footer="567"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rPr>
          <w:rFonts w:hint="eastAsia"/>
          <w:b/>
          <w:bCs/>
          <w:color w:val="auto"/>
          <w:sz w:val="24"/>
          <w:szCs w:val="24"/>
          <w:lang w:val="en-US" w:eastAsia="zh-CN"/>
        </w:rPr>
      </w:pPr>
      <w:r>
        <w:rPr>
          <w:rFonts w:hint="eastAsia"/>
          <w:b/>
          <w:bCs/>
          <w:color w:val="auto"/>
          <w:sz w:val="24"/>
          <w:szCs w:val="24"/>
          <w:lang w:val="en-US" w:eastAsia="zh-CN"/>
        </w:rPr>
        <w:t>附件8：</w:t>
      </w:r>
    </w:p>
    <w:p>
      <w:pPr>
        <w:jc w:val="center"/>
        <w:rPr>
          <w:rFonts w:hint="eastAsia"/>
          <w:b/>
          <w:bCs/>
          <w:color w:val="auto"/>
          <w:sz w:val="32"/>
          <w:szCs w:val="32"/>
          <w:lang w:val="en-US" w:eastAsia="zh-CN"/>
        </w:rPr>
      </w:pPr>
      <w:r>
        <w:rPr>
          <w:rFonts w:hint="eastAsia"/>
          <w:b/>
          <w:bCs/>
          <w:color w:val="auto"/>
          <w:sz w:val="32"/>
          <w:szCs w:val="32"/>
          <w:lang w:val="en-US" w:eastAsia="zh-CN"/>
        </w:rPr>
        <w:t>抚松县重污染天气应急物资清单</w:t>
      </w:r>
    </w:p>
    <w:tbl>
      <w:tblPr>
        <w:tblStyle w:val="21"/>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8"/>
        <w:gridCol w:w="3698"/>
        <w:gridCol w:w="2280"/>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应急物资地点</w:t>
            </w:r>
          </w:p>
        </w:tc>
        <w:tc>
          <w:tcPr>
            <w:tcW w:w="369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应急物资名称</w:t>
            </w:r>
          </w:p>
        </w:tc>
        <w:tc>
          <w:tcPr>
            <w:tcW w:w="2280"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联系电话</w:t>
            </w:r>
          </w:p>
        </w:tc>
        <w:tc>
          <w:tcPr>
            <w:tcW w:w="103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白山市生态环境局抚松县分局</w:t>
            </w:r>
          </w:p>
        </w:tc>
        <w:tc>
          <w:tcPr>
            <w:tcW w:w="369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应急执法车箱5套</w:t>
            </w:r>
          </w:p>
        </w:tc>
        <w:tc>
          <w:tcPr>
            <w:tcW w:w="2280"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13596713380</w:t>
            </w:r>
          </w:p>
        </w:tc>
        <w:tc>
          <w:tcPr>
            <w:tcW w:w="103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秦旭海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dxa"/>
            <w:vMerge w:val="restart"/>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抚松县环境保护监测站</w:t>
            </w:r>
          </w:p>
        </w:tc>
        <w:tc>
          <w:tcPr>
            <w:tcW w:w="369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应急监测车1辆</w:t>
            </w:r>
          </w:p>
        </w:tc>
        <w:tc>
          <w:tcPr>
            <w:tcW w:w="2280" w:type="dxa"/>
            <w:vMerge w:val="restart"/>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eastAsia" w:eastAsia="宋体" w:cs="Times New Roman"/>
                <w:b/>
                <w:bCs/>
                <w:i w:val="0"/>
                <w:iCs w:val="0"/>
                <w:color w:val="auto"/>
                <w:sz w:val="24"/>
                <w:szCs w:val="24"/>
                <w:u w:val="single"/>
                <w:lang w:val="en-US" w:eastAsia="zh-CN"/>
              </w:rPr>
              <w:t>13894025686</w:t>
            </w:r>
          </w:p>
        </w:tc>
        <w:tc>
          <w:tcPr>
            <w:tcW w:w="1038" w:type="dxa"/>
            <w:vMerge w:val="restart"/>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eastAsia" w:eastAsia="宋体" w:cs="Times New Roman"/>
                <w:b/>
                <w:bCs/>
                <w:i w:val="0"/>
                <w:iCs w:val="0"/>
                <w:color w:val="auto"/>
                <w:sz w:val="24"/>
                <w:szCs w:val="24"/>
                <w:u w:val="single"/>
                <w:lang w:val="en-US" w:eastAsia="zh-CN"/>
              </w:rPr>
              <w:t>张传华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dxa"/>
            <w:vMerge w:val="continue"/>
            <w:vAlign w:val="center"/>
          </w:tcPr>
          <w:p>
            <w:pPr>
              <w:adjustRightInd w:val="0"/>
              <w:snapToGrid w:val="0"/>
              <w:jc w:val="center"/>
              <w:rPr>
                <w:rFonts w:hint="default" w:eastAsia="宋体" w:cs="Times New Roman"/>
                <w:b/>
                <w:bCs/>
                <w:i w:val="0"/>
                <w:iCs w:val="0"/>
                <w:color w:val="auto"/>
                <w:sz w:val="24"/>
                <w:szCs w:val="24"/>
                <w:u w:val="single"/>
                <w:lang w:val="en-US" w:eastAsia="zh-CN"/>
              </w:rPr>
            </w:pPr>
          </w:p>
        </w:tc>
        <w:tc>
          <w:tcPr>
            <w:tcW w:w="369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溶解氧测定仪1个</w:t>
            </w:r>
          </w:p>
        </w:tc>
        <w:tc>
          <w:tcPr>
            <w:tcW w:w="2280"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c>
          <w:tcPr>
            <w:tcW w:w="1038"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dxa"/>
            <w:vMerge w:val="continue"/>
            <w:vAlign w:val="center"/>
          </w:tcPr>
          <w:p>
            <w:pPr>
              <w:adjustRightInd w:val="0"/>
              <w:snapToGrid w:val="0"/>
              <w:jc w:val="center"/>
              <w:rPr>
                <w:rFonts w:hint="default" w:eastAsia="宋体" w:cs="Times New Roman"/>
                <w:b/>
                <w:bCs/>
                <w:i w:val="0"/>
                <w:iCs w:val="0"/>
                <w:color w:val="auto"/>
                <w:sz w:val="24"/>
                <w:szCs w:val="24"/>
                <w:u w:val="single"/>
                <w:lang w:val="en-US" w:eastAsia="zh-CN"/>
              </w:rPr>
            </w:pPr>
          </w:p>
        </w:tc>
        <w:tc>
          <w:tcPr>
            <w:tcW w:w="369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便携式浊度计1个</w:t>
            </w:r>
          </w:p>
        </w:tc>
        <w:tc>
          <w:tcPr>
            <w:tcW w:w="2280"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c>
          <w:tcPr>
            <w:tcW w:w="1038"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dxa"/>
            <w:vMerge w:val="continue"/>
            <w:vAlign w:val="center"/>
          </w:tcPr>
          <w:p>
            <w:pPr>
              <w:adjustRightInd w:val="0"/>
              <w:snapToGrid w:val="0"/>
              <w:jc w:val="center"/>
              <w:rPr>
                <w:rFonts w:hint="default" w:eastAsia="宋体" w:cs="Times New Roman"/>
                <w:b/>
                <w:bCs/>
                <w:i w:val="0"/>
                <w:iCs w:val="0"/>
                <w:color w:val="auto"/>
                <w:sz w:val="24"/>
                <w:szCs w:val="24"/>
                <w:u w:val="single"/>
                <w:lang w:val="en-US" w:eastAsia="zh-CN"/>
              </w:rPr>
            </w:pPr>
          </w:p>
        </w:tc>
        <w:tc>
          <w:tcPr>
            <w:tcW w:w="369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便携式Ph计1个</w:t>
            </w:r>
          </w:p>
        </w:tc>
        <w:tc>
          <w:tcPr>
            <w:tcW w:w="2280"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c>
          <w:tcPr>
            <w:tcW w:w="1038"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dxa"/>
            <w:vMerge w:val="continue"/>
            <w:vAlign w:val="center"/>
          </w:tcPr>
          <w:p>
            <w:pPr>
              <w:adjustRightInd w:val="0"/>
              <w:snapToGrid w:val="0"/>
              <w:jc w:val="center"/>
              <w:rPr>
                <w:rFonts w:hint="default" w:eastAsia="宋体" w:cs="Times New Roman"/>
                <w:b/>
                <w:bCs/>
                <w:i w:val="0"/>
                <w:iCs w:val="0"/>
                <w:color w:val="auto"/>
                <w:sz w:val="24"/>
                <w:szCs w:val="24"/>
                <w:u w:val="single"/>
                <w:lang w:val="en-US" w:eastAsia="zh-CN"/>
              </w:rPr>
            </w:pPr>
          </w:p>
        </w:tc>
        <w:tc>
          <w:tcPr>
            <w:tcW w:w="369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便携式水质快速测定仪1个</w:t>
            </w:r>
          </w:p>
        </w:tc>
        <w:tc>
          <w:tcPr>
            <w:tcW w:w="2280"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c>
          <w:tcPr>
            <w:tcW w:w="1038"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dxa"/>
            <w:vMerge w:val="continue"/>
            <w:vAlign w:val="center"/>
          </w:tcPr>
          <w:p>
            <w:pPr>
              <w:adjustRightInd w:val="0"/>
              <w:snapToGrid w:val="0"/>
              <w:jc w:val="center"/>
              <w:rPr>
                <w:rFonts w:hint="default" w:eastAsia="宋体" w:cs="Times New Roman"/>
                <w:b/>
                <w:bCs/>
                <w:i w:val="0"/>
                <w:iCs w:val="0"/>
                <w:color w:val="auto"/>
                <w:sz w:val="24"/>
                <w:szCs w:val="24"/>
                <w:u w:val="single"/>
                <w:lang w:val="en-US" w:eastAsia="zh-CN"/>
              </w:rPr>
            </w:pPr>
          </w:p>
        </w:tc>
        <w:tc>
          <w:tcPr>
            <w:tcW w:w="369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化学防护服1个</w:t>
            </w:r>
          </w:p>
        </w:tc>
        <w:tc>
          <w:tcPr>
            <w:tcW w:w="2280"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c>
          <w:tcPr>
            <w:tcW w:w="1038"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dxa"/>
            <w:vMerge w:val="continue"/>
            <w:vAlign w:val="center"/>
          </w:tcPr>
          <w:p>
            <w:pPr>
              <w:adjustRightInd w:val="0"/>
              <w:snapToGrid w:val="0"/>
              <w:jc w:val="center"/>
              <w:rPr>
                <w:rFonts w:hint="default" w:eastAsia="宋体" w:cs="Times New Roman"/>
                <w:b/>
                <w:bCs/>
                <w:i w:val="0"/>
                <w:iCs w:val="0"/>
                <w:color w:val="auto"/>
                <w:sz w:val="24"/>
                <w:szCs w:val="24"/>
                <w:u w:val="single"/>
                <w:lang w:val="en-US" w:eastAsia="zh-CN"/>
              </w:rPr>
            </w:pPr>
          </w:p>
        </w:tc>
        <w:tc>
          <w:tcPr>
            <w:tcW w:w="369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气体应急检测箱1个</w:t>
            </w:r>
          </w:p>
        </w:tc>
        <w:tc>
          <w:tcPr>
            <w:tcW w:w="2280"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c>
          <w:tcPr>
            <w:tcW w:w="1038"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dxa"/>
            <w:vMerge w:val="continue"/>
            <w:vAlign w:val="center"/>
          </w:tcPr>
          <w:p>
            <w:pPr>
              <w:adjustRightInd w:val="0"/>
              <w:snapToGrid w:val="0"/>
              <w:jc w:val="center"/>
              <w:rPr>
                <w:rFonts w:hint="default" w:eastAsia="宋体" w:cs="Times New Roman"/>
                <w:b/>
                <w:bCs/>
                <w:i w:val="0"/>
                <w:iCs w:val="0"/>
                <w:color w:val="auto"/>
                <w:sz w:val="24"/>
                <w:szCs w:val="24"/>
                <w:u w:val="single"/>
                <w:lang w:val="en-US" w:eastAsia="zh-CN"/>
              </w:rPr>
            </w:pPr>
          </w:p>
        </w:tc>
        <w:tc>
          <w:tcPr>
            <w:tcW w:w="369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便携式气体检测仪1个</w:t>
            </w:r>
          </w:p>
        </w:tc>
        <w:tc>
          <w:tcPr>
            <w:tcW w:w="2280"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c>
          <w:tcPr>
            <w:tcW w:w="1038"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dxa"/>
            <w:vMerge w:val="continue"/>
            <w:vAlign w:val="center"/>
          </w:tcPr>
          <w:p>
            <w:pPr>
              <w:adjustRightInd w:val="0"/>
              <w:snapToGrid w:val="0"/>
              <w:jc w:val="center"/>
              <w:rPr>
                <w:rFonts w:hint="default" w:eastAsia="宋体" w:cs="Times New Roman"/>
                <w:b/>
                <w:bCs/>
                <w:i w:val="0"/>
                <w:iCs w:val="0"/>
                <w:color w:val="auto"/>
                <w:sz w:val="24"/>
                <w:szCs w:val="24"/>
                <w:u w:val="single"/>
                <w:lang w:val="en-US" w:eastAsia="zh-CN"/>
              </w:rPr>
            </w:pPr>
          </w:p>
        </w:tc>
        <w:tc>
          <w:tcPr>
            <w:tcW w:w="3698" w:type="dxa"/>
            <w:vAlign w:val="center"/>
          </w:tcPr>
          <w:p>
            <w:pPr>
              <w:adjustRightInd w:val="0"/>
              <w:snapToGrid w:val="0"/>
              <w:jc w:val="center"/>
              <w:rPr>
                <w:rFonts w:hint="default" w:eastAsia="宋体" w:cs="Times New Roman"/>
                <w:b/>
                <w:bCs/>
                <w:i w:val="0"/>
                <w:iCs w:val="0"/>
                <w:color w:val="auto"/>
                <w:sz w:val="24"/>
                <w:szCs w:val="24"/>
                <w:u w:val="single"/>
                <w:lang w:val="en-US" w:eastAsia="zh-CN"/>
              </w:rPr>
            </w:pPr>
            <w:r>
              <w:rPr>
                <w:rFonts w:hint="default" w:eastAsia="宋体" w:cs="Times New Roman"/>
                <w:b/>
                <w:bCs/>
                <w:i w:val="0"/>
                <w:iCs w:val="0"/>
                <w:color w:val="auto"/>
                <w:sz w:val="24"/>
                <w:szCs w:val="24"/>
                <w:u w:val="single"/>
                <w:lang w:val="en-US" w:eastAsia="zh-CN"/>
              </w:rPr>
              <w:t>噪声分析仪1个</w:t>
            </w:r>
          </w:p>
        </w:tc>
        <w:tc>
          <w:tcPr>
            <w:tcW w:w="2280"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c>
          <w:tcPr>
            <w:tcW w:w="1038" w:type="dxa"/>
            <w:vMerge w:val="continue"/>
            <w:vAlign w:val="center"/>
          </w:tcPr>
          <w:p>
            <w:pPr>
              <w:adjustRightInd w:val="0"/>
              <w:snapToGrid w:val="0"/>
              <w:jc w:val="center"/>
              <w:rPr>
                <w:rFonts w:hint="default" w:eastAsia="宋体" w:cs="Times New Roman"/>
                <w:b/>
                <w:bCs/>
                <w:i w:val="0"/>
                <w:iCs w:val="0"/>
                <w:color w:val="auto"/>
                <w:sz w:val="21"/>
                <w:szCs w:val="21"/>
                <w:u w:val="single"/>
                <w:lang w:val="en-US" w:eastAsia="zh-CN"/>
              </w:rPr>
            </w:pPr>
          </w:p>
        </w:tc>
      </w:tr>
    </w:tbl>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b/>
          <w:bCs/>
          <w:color w:val="auto"/>
          <w:sz w:val="24"/>
          <w:u w:val="single"/>
          <w:lang w:val="en-US" w:eastAsia="zh-CN"/>
        </w:rPr>
      </w:pPr>
    </w:p>
    <w:p>
      <w:pPr>
        <w:adjustRightInd w:val="0"/>
        <w:snapToGrid w:val="0"/>
        <w:spacing w:line="360" w:lineRule="auto"/>
        <w:ind w:firstLine="482" w:firstLineChars="200"/>
        <w:jc w:val="left"/>
        <w:rPr>
          <w:rFonts w:hint="eastAsia" w:eastAsia="宋体" w:cs="Times New Roman"/>
          <w:b/>
          <w:bCs/>
          <w:i w:val="0"/>
          <w:iCs w:val="0"/>
          <w:color w:val="auto"/>
          <w:sz w:val="24"/>
          <w:szCs w:val="24"/>
          <w:u w:val="single"/>
          <w:lang w:val="en-US" w:eastAsia="zh-CN"/>
        </w:rPr>
      </w:pPr>
      <w:r>
        <w:rPr>
          <w:rFonts w:hint="eastAsia" w:eastAsia="宋体" w:cs="Times New Roman"/>
          <w:b/>
          <w:bCs/>
          <w:i w:val="0"/>
          <w:iCs w:val="0"/>
          <w:color w:val="auto"/>
          <w:sz w:val="24"/>
          <w:szCs w:val="24"/>
          <w:u w:val="single"/>
          <w:lang w:val="en-US" w:eastAsia="zh-CN"/>
        </w:rPr>
        <w:t>抚松县人民政府应设有专门的负责人管理与检查上表内所列应急物资，定期进行更换及补充，以上应急物质及装备能够满足重污染天气应急的需求。废弃应急物资经密封包装后统一运输至废物处理场处置。以上应急物资均应具备第一时间调用条件，建议根据岗位职责和应急措施制作应急卡，当发生突发环境事件时能够更好地起到应急处置效果。</w:t>
      </w:r>
    </w:p>
    <w:p>
      <w:pPr>
        <w:spacing w:line="360" w:lineRule="auto"/>
        <w:rPr>
          <w:rFonts w:hint="eastAsia"/>
          <w:b/>
          <w:bCs/>
          <w:color w:val="auto"/>
          <w:sz w:val="24"/>
          <w:szCs w:val="24"/>
          <w:lang w:val="en-US" w:eastAsia="zh-CN"/>
        </w:rPr>
        <w:sectPr>
          <w:pgSz w:w="11906" w:h="16838"/>
          <w:pgMar w:top="1417" w:right="1797" w:bottom="1417" w:left="1797" w:header="851" w:footer="850"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rPr>
          <w:rFonts w:hint="eastAsia"/>
          <w:b/>
          <w:bCs/>
          <w:color w:val="auto"/>
          <w:sz w:val="24"/>
          <w:szCs w:val="24"/>
          <w:lang w:val="en-US" w:eastAsia="zh-CN"/>
        </w:rPr>
      </w:pPr>
      <w:r>
        <w:rPr>
          <w:rFonts w:hint="eastAsia"/>
          <w:b/>
          <w:bCs/>
          <w:color w:val="auto"/>
          <w:sz w:val="24"/>
          <w:szCs w:val="24"/>
          <w:lang w:val="en-US" w:eastAsia="zh-CN"/>
        </w:rPr>
        <w:t>附件9：</w:t>
      </w:r>
    </w:p>
    <w:p>
      <w:pPr>
        <w:jc w:val="center"/>
        <w:rPr>
          <w:rFonts w:hint="eastAsia"/>
          <w:b/>
          <w:bCs/>
          <w:color w:val="auto"/>
          <w:sz w:val="32"/>
          <w:szCs w:val="32"/>
          <w:lang w:val="en-US" w:eastAsia="zh-CN"/>
        </w:rPr>
      </w:pPr>
      <w:r>
        <w:rPr>
          <w:rFonts w:hint="eastAsia"/>
          <w:b/>
          <w:bCs/>
          <w:color w:val="auto"/>
          <w:sz w:val="32"/>
          <w:szCs w:val="32"/>
          <w:lang w:val="en-US" w:eastAsia="zh-CN"/>
        </w:rPr>
        <w:t>抚松县重污染天气应急监督检查表</w:t>
      </w:r>
    </w:p>
    <w:tbl>
      <w:tblPr>
        <w:tblStyle w:val="21"/>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900"/>
        <w:gridCol w:w="1350"/>
        <w:gridCol w:w="930"/>
        <w:gridCol w:w="97"/>
        <w:gridCol w:w="1028"/>
        <w:gridCol w:w="1620"/>
        <w:gridCol w:w="1140"/>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应急时间</w:t>
            </w:r>
          </w:p>
        </w:tc>
        <w:tc>
          <w:tcPr>
            <w:tcW w:w="3180" w:type="dxa"/>
            <w:gridSpan w:val="3"/>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25"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应急地点</w:t>
            </w:r>
          </w:p>
        </w:tc>
        <w:tc>
          <w:tcPr>
            <w:tcW w:w="3897" w:type="dxa"/>
            <w:gridSpan w:val="3"/>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检查部门</w:t>
            </w:r>
          </w:p>
        </w:tc>
        <w:tc>
          <w:tcPr>
            <w:tcW w:w="3180" w:type="dxa"/>
            <w:gridSpan w:val="3"/>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25"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检查时间</w:t>
            </w:r>
          </w:p>
        </w:tc>
        <w:tc>
          <w:tcPr>
            <w:tcW w:w="3897" w:type="dxa"/>
            <w:gridSpan w:val="3"/>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5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预测预警信息</w:t>
            </w:r>
          </w:p>
        </w:tc>
        <w:tc>
          <w:tcPr>
            <w:tcW w:w="8202" w:type="dxa"/>
            <w:gridSpan w:val="8"/>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5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应急过程描述</w:t>
            </w:r>
          </w:p>
        </w:tc>
        <w:tc>
          <w:tcPr>
            <w:tcW w:w="8202" w:type="dxa"/>
            <w:gridSpan w:val="8"/>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2" w:type="dxa"/>
            <w:vMerge w:val="restart"/>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监督检查情况汇总</w:t>
            </w:r>
          </w:p>
        </w:tc>
        <w:tc>
          <w:tcPr>
            <w:tcW w:w="90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类型</w:t>
            </w: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部门</w:t>
            </w:r>
          </w:p>
        </w:tc>
        <w:tc>
          <w:tcPr>
            <w:tcW w:w="1027" w:type="dxa"/>
            <w:gridSpan w:val="2"/>
            <w:tcBorders>
              <w:tl2br w:val="nil"/>
              <w:tr2bl w:val="nil"/>
            </w:tcBorders>
            <w:vAlign w:val="center"/>
          </w:tcPr>
          <w:p>
            <w:pPr>
              <w:adjustRightInd w:val="0"/>
              <w:snapToGrid w:val="0"/>
              <w:jc w:val="center"/>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应采取</w:t>
            </w:r>
          </w:p>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措施</w:t>
            </w: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实际落实情况</w:t>
            </w: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存在问题</w:t>
            </w:r>
          </w:p>
        </w:tc>
        <w:tc>
          <w:tcPr>
            <w:tcW w:w="1140" w:type="dxa"/>
            <w:tcBorders>
              <w:tl2br w:val="nil"/>
              <w:tr2bl w:val="nil"/>
            </w:tcBorders>
            <w:vAlign w:val="center"/>
          </w:tcPr>
          <w:p>
            <w:pPr>
              <w:adjustRightInd w:val="0"/>
              <w:snapToGrid w:val="0"/>
              <w:jc w:val="center"/>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现场</w:t>
            </w:r>
          </w:p>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检查人</w:t>
            </w: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restart"/>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指挥部</w:t>
            </w: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办公室</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监测预警组</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专家组</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督导组</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保障组</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restart"/>
            <w:tcBorders>
              <w:tl2br w:val="nil"/>
              <w:tr2bl w:val="nil"/>
            </w:tcBorders>
            <w:vAlign w:val="center"/>
          </w:tcPr>
          <w:p>
            <w:pPr>
              <w:adjustRightInd w:val="0"/>
              <w:snapToGrid w:val="0"/>
              <w:jc w:val="center"/>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县直</w:t>
            </w:r>
          </w:p>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部门</w:t>
            </w: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白山市生态环境局抚松县分局</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县气象局</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县发展和改革局</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县财政局</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县住房和城乡建设局</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县工业和信息化局</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县交通局</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县教育局</w:t>
            </w:r>
          </w:p>
        </w:tc>
        <w:tc>
          <w:tcPr>
            <w:tcW w:w="1027" w:type="dxa"/>
            <w:gridSpan w:val="2"/>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028"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62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140"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1137" w:type="dxa"/>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restart"/>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镇、乡</w:t>
            </w:r>
          </w:p>
        </w:tc>
        <w:tc>
          <w:tcPr>
            <w:tcW w:w="1350" w:type="dxa"/>
            <w:tcBorders>
              <w:tl2br w:val="nil"/>
              <w:tr2bl w:val="nil"/>
            </w:tcBorders>
            <w:vAlign w:val="center"/>
          </w:tcPr>
          <w:p>
            <w:pPr>
              <w:adjustRightInd w:val="0"/>
              <w:snapToGrid w:val="0"/>
              <w:jc w:val="center"/>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松江河镇</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泉阳镇</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露水河镇</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仙人桥镇</w:t>
            </w:r>
          </w:p>
        </w:tc>
        <w:tc>
          <w:tcPr>
            <w:tcW w:w="1027"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万良镇</w:t>
            </w:r>
          </w:p>
        </w:tc>
        <w:tc>
          <w:tcPr>
            <w:tcW w:w="1027" w:type="dxa"/>
            <w:gridSpan w:val="2"/>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新屯子镇</w:t>
            </w:r>
          </w:p>
        </w:tc>
        <w:tc>
          <w:tcPr>
            <w:tcW w:w="1027" w:type="dxa"/>
            <w:gridSpan w:val="2"/>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东港镇</w:t>
            </w:r>
          </w:p>
        </w:tc>
        <w:tc>
          <w:tcPr>
            <w:tcW w:w="1027" w:type="dxa"/>
            <w:gridSpan w:val="2"/>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漫江镇</w:t>
            </w:r>
          </w:p>
        </w:tc>
        <w:tc>
          <w:tcPr>
            <w:tcW w:w="1027" w:type="dxa"/>
            <w:gridSpan w:val="2"/>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北岗镇</w:t>
            </w:r>
          </w:p>
        </w:tc>
        <w:tc>
          <w:tcPr>
            <w:tcW w:w="1027" w:type="dxa"/>
            <w:gridSpan w:val="2"/>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兴参镇</w:t>
            </w:r>
          </w:p>
        </w:tc>
        <w:tc>
          <w:tcPr>
            <w:tcW w:w="1027" w:type="dxa"/>
            <w:gridSpan w:val="2"/>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兴隆乡</w:t>
            </w:r>
          </w:p>
        </w:tc>
        <w:tc>
          <w:tcPr>
            <w:tcW w:w="1027" w:type="dxa"/>
            <w:gridSpan w:val="2"/>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抽水乡</w:t>
            </w:r>
          </w:p>
        </w:tc>
        <w:tc>
          <w:tcPr>
            <w:tcW w:w="1027" w:type="dxa"/>
            <w:gridSpan w:val="2"/>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沿江乡</w:t>
            </w:r>
          </w:p>
        </w:tc>
        <w:tc>
          <w:tcPr>
            <w:tcW w:w="1027" w:type="dxa"/>
            <w:gridSpan w:val="2"/>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restart"/>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企事业单位及工地</w:t>
            </w:r>
          </w:p>
        </w:tc>
        <w:tc>
          <w:tcPr>
            <w:tcW w:w="1350" w:type="dxa"/>
            <w:vAlign w:val="center"/>
          </w:tcPr>
          <w:p>
            <w:pPr>
              <w:adjustRightInd w:val="0"/>
              <w:snapToGrid w:val="0"/>
              <w:jc w:val="center"/>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抚松县中药有限公司</w:t>
            </w:r>
          </w:p>
        </w:tc>
        <w:tc>
          <w:tcPr>
            <w:tcW w:w="1027" w:type="dxa"/>
            <w:gridSpan w:val="2"/>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vAlign w:val="center"/>
          </w:tcPr>
          <w:p>
            <w:pPr>
              <w:adjustRightInd w:val="0"/>
              <w:snapToGrid w:val="0"/>
              <w:jc w:val="center"/>
              <w:rPr>
                <w:rFonts w:hint="eastAsia"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eastAsia" w:cs="Times New Roman"/>
                <w:b w:val="0"/>
                <w:bCs w:val="0"/>
                <w:i w:val="0"/>
                <w:iCs w:val="0"/>
                <w:color w:val="auto"/>
                <w:spacing w:val="-11"/>
                <w:sz w:val="21"/>
                <w:szCs w:val="21"/>
                <w:u w:val="none"/>
                <w:lang w:val="en-US" w:eastAsia="zh-CN"/>
              </w:rPr>
            </w:pPr>
            <w:r>
              <w:rPr>
                <w:rFonts w:hint="eastAsia" w:cs="Times New Roman"/>
                <w:b w:val="0"/>
                <w:bCs w:val="0"/>
                <w:i w:val="0"/>
                <w:iCs w:val="0"/>
                <w:color w:val="auto"/>
                <w:spacing w:val="-11"/>
                <w:sz w:val="21"/>
                <w:szCs w:val="21"/>
                <w:u w:val="none"/>
                <w:lang w:val="en-US" w:eastAsia="zh-CN"/>
              </w:rPr>
              <w:t>抚松长白山啤酒有限公司</w:t>
            </w:r>
          </w:p>
        </w:tc>
        <w:tc>
          <w:tcPr>
            <w:tcW w:w="1027" w:type="dxa"/>
            <w:gridSpan w:val="2"/>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vAlign w:val="center"/>
          </w:tcPr>
          <w:p>
            <w:pPr>
              <w:adjustRightInd w:val="0"/>
              <w:snapToGrid w:val="0"/>
              <w:jc w:val="center"/>
              <w:rPr>
                <w:rFonts w:hint="eastAsia"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eastAsia" w:cs="Times New Roman"/>
                <w:b w:val="0"/>
                <w:bCs w:val="0"/>
                <w:i w:val="0"/>
                <w:iCs w:val="0"/>
                <w:color w:val="auto"/>
                <w:spacing w:val="-11"/>
                <w:sz w:val="21"/>
                <w:szCs w:val="21"/>
                <w:u w:val="none"/>
                <w:lang w:val="en-US" w:eastAsia="zh-CN"/>
              </w:rPr>
            </w:pPr>
            <w:r>
              <w:rPr>
                <w:rFonts w:hint="eastAsia" w:cs="Times New Roman"/>
                <w:b w:val="0"/>
                <w:bCs w:val="0"/>
                <w:i w:val="0"/>
                <w:iCs w:val="0"/>
                <w:color w:val="auto"/>
                <w:spacing w:val="-11"/>
                <w:sz w:val="21"/>
                <w:szCs w:val="21"/>
                <w:u w:val="none"/>
                <w:lang w:val="en-US" w:eastAsia="zh-CN"/>
              </w:rPr>
              <w:t>抚松县盛源热力有限公司</w:t>
            </w:r>
          </w:p>
        </w:tc>
        <w:tc>
          <w:tcPr>
            <w:tcW w:w="1027" w:type="dxa"/>
            <w:gridSpan w:val="2"/>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vAlign w:val="center"/>
          </w:tcPr>
          <w:p>
            <w:pPr>
              <w:adjustRightInd w:val="0"/>
              <w:snapToGrid w:val="0"/>
              <w:jc w:val="center"/>
              <w:rPr>
                <w:rFonts w:hint="eastAsia"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抚松县盛源热力有限公司温泉站</w:t>
            </w:r>
          </w:p>
        </w:tc>
        <w:tc>
          <w:tcPr>
            <w:tcW w:w="1027" w:type="dxa"/>
            <w:gridSpan w:val="2"/>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vAlign w:val="center"/>
          </w:tcPr>
          <w:p>
            <w:pPr>
              <w:adjustRightInd w:val="0"/>
              <w:snapToGrid w:val="0"/>
              <w:jc w:val="center"/>
              <w:rPr>
                <w:rFonts w:hint="eastAsia"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新城热力有限公司</w:t>
            </w:r>
          </w:p>
        </w:tc>
        <w:tc>
          <w:tcPr>
            <w:tcW w:w="1027" w:type="dxa"/>
            <w:gridSpan w:val="2"/>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vAlign w:val="center"/>
          </w:tcPr>
          <w:p>
            <w:pPr>
              <w:adjustRightInd w:val="0"/>
              <w:snapToGrid w:val="0"/>
              <w:jc w:val="center"/>
              <w:rPr>
                <w:rFonts w:hint="eastAsia"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长白山万达旅游度假区供暖公司</w:t>
            </w:r>
          </w:p>
        </w:tc>
        <w:tc>
          <w:tcPr>
            <w:tcW w:w="1027" w:type="dxa"/>
            <w:gridSpan w:val="2"/>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vAlign w:val="center"/>
          </w:tcPr>
          <w:p>
            <w:pPr>
              <w:adjustRightInd w:val="0"/>
              <w:snapToGrid w:val="0"/>
              <w:jc w:val="center"/>
              <w:rPr>
                <w:rFonts w:hint="eastAsia"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pacing w:val="-11"/>
                <w:sz w:val="21"/>
                <w:szCs w:val="21"/>
                <w:u w:val="none"/>
                <w:lang w:val="en-US" w:eastAsia="zh-CN"/>
              </w:rPr>
              <w:t>抚松县鸿源供热有限公司</w:t>
            </w:r>
          </w:p>
        </w:tc>
        <w:tc>
          <w:tcPr>
            <w:tcW w:w="1027" w:type="dxa"/>
            <w:gridSpan w:val="2"/>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vAlign w:val="center"/>
          </w:tcPr>
          <w:p>
            <w:pPr>
              <w:adjustRightInd w:val="0"/>
              <w:snapToGrid w:val="0"/>
              <w:jc w:val="center"/>
              <w:rPr>
                <w:rFonts w:hint="eastAsia"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抚松京热热力有限责任公司</w:t>
            </w:r>
          </w:p>
        </w:tc>
        <w:tc>
          <w:tcPr>
            <w:tcW w:w="1027" w:type="dxa"/>
            <w:gridSpan w:val="2"/>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vAlign w:val="center"/>
          </w:tcPr>
          <w:p>
            <w:pPr>
              <w:adjustRightInd w:val="0"/>
              <w:snapToGrid w:val="0"/>
              <w:jc w:val="center"/>
              <w:rPr>
                <w:rFonts w:hint="eastAsia"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抚松县泉阳立公热力有限公司</w:t>
            </w:r>
          </w:p>
        </w:tc>
        <w:tc>
          <w:tcPr>
            <w:tcW w:w="1027" w:type="dxa"/>
            <w:gridSpan w:val="2"/>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vAlign w:val="center"/>
          </w:tcPr>
          <w:p>
            <w:pPr>
              <w:adjustRightInd w:val="0"/>
              <w:snapToGrid w:val="0"/>
              <w:jc w:val="center"/>
              <w:rPr>
                <w:rFonts w:hint="eastAsia"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eastAsia" w:cs="Times New Roman"/>
                <w:b w:val="0"/>
                <w:bCs w:val="0"/>
                <w:i w:val="0"/>
                <w:iCs w:val="0"/>
                <w:color w:val="auto"/>
                <w:spacing w:val="-11"/>
                <w:sz w:val="21"/>
                <w:szCs w:val="21"/>
                <w:u w:val="none"/>
                <w:lang w:val="en-US" w:eastAsia="zh-CN"/>
              </w:rPr>
            </w:pPr>
            <w:r>
              <w:rPr>
                <w:rFonts w:hint="eastAsia" w:cs="Times New Roman"/>
                <w:b w:val="0"/>
                <w:bCs w:val="0"/>
                <w:i w:val="0"/>
                <w:iCs w:val="0"/>
                <w:color w:val="auto"/>
                <w:spacing w:val="-11"/>
                <w:sz w:val="21"/>
                <w:szCs w:val="21"/>
                <w:u w:val="none"/>
                <w:lang w:val="en-US" w:eastAsia="zh-CN"/>
              </w:rPr>
              <w:t>抚松县泉阳立公热力有限公司2号站</w:t>
            </w:r>
          </w:p>
        </w:tc>
        <w:tc>
          <w:tcPr>
            <w:tcW w:w="1027" w:type="dxa"/>
            <w:gridSpan w:val="2"/>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028"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40"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37" w:type="dxa"/>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eastAsia"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eastAsia" w:cs="Times New Roman"/>
                <w:b w:val="0"/>
                <w:bCs w:val="0"/>
                <w:i w:val="0"/>
                <w:iCs w:val="0"/>
                <w:color w:val="auto"/>
                <w:spacing w:val="-11"/>
                <w:sz w:val="21"/>
                <w:szCs w:val="21"/>
                <w:u w:val="none"/>
                <w:lang w:val="en-US" w:eastAsia="zh-CN"/>
              </w:rPr>
            </w:pPr>
            <w:r>
              <w:rPr>
                <w:rFonts w:hint="eastAsia" w:cs="Times New Roman"/>
                <w:b w:val="0"/>
                <w:bCs w:val="0"/>
                <w:i w:val="0"/>
                <w:iCs w:val="0"/>
                <w:color w:val="auto"/>
                <w:spacing w:val="-11"/>
                <w:sz w:val="21"/>
                <w:szCs w:val="21"/>
                <w:u w:val="none"/>
                <w:lang w:val="en-US" w:eastAsia="zh-CN"/>
              </w:rPr>
              <w:t>抚松县恒岐热力有限公司</w:t>
            </w:r>
          </w:p>
        </w:tc>
        <w:tc>
          <w:tcPr>
            <w:tcW w:w="1027" w:type="dxa"/>
            <w:gridSpan w:val="2"/>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eastAsia"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p>
        </w:tc>
        <w:tc>
          <w:tcPr>
            <w:tcW w:w="1027" w:type="dxa"/>
            <w:gridSpan w:val="2"/>
            <w:vAlign w:val="top"/>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0" w:type="auto"/>
            <w:vAlign w:val="top"/>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0" w:type="auto"/>
            <w:vAlign w:val="top"/>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0" w:type="auto"/>
            <w:vAlign w:val="top"/>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0" w:type="auto"/>
            <w:vAlign w:val="top"/>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eastAsia" w:cs="Times New Roman"/>
                <w:b w:val="0"/>
                <w:bCs w:val="0"/>
                <w:i w:val="0"/>
                <w:iCs w:val="0"/>
                <w:color w:val="auto"/>
                <w:sz w:val="21"/>
                <w:szCs w:val="21"/>
                <w:u w:val="none"/>
                <w:lang w:val="en-US" w:eastAsia="zh-CN"/>
              </w:rPr>
            </w:pPr>
          </w:p>
        </w:tc>
        <w:tc>
          <w:tcPr>
            <w:tcW w:w="1350" w:type="dxa"/>
            <w:vAlign w:val="center"/>
          </w:tcPr>
          <w:p>
            <w:pPr>
              <w:adjustRightInd w:val="0"/>
              <w:snapToGrid w:val="0"/>
              <w:jc w:val="center"/>
              <w:rPr>
                <w:rFonts w:hint="eastAsia" w:cs="Times New Roman"/>
                <w:b w:val="0"/>
                <w:bCs w:val="0"/>
                <w:i w:val="0"/>
                <w:iCs w:val="0"/>
                <w:color w:val="auto"/>
                <w:sz w:val="21"/>
                <w:szCs w:val="21"/>
                <w:u w:val="none"/>
                <w:lang w:val="en-US" w:eastAsia="zh-CN"/>
              </w:rPr>
            </w:pPr>
          </w:p>
        </w:tc>
        <w:tc>
          <w:tcPr>
            <w:tcW w:w="1027" w:type="dxa"/>
            <w:gridSpan w:val="2"/>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tcPr>
          <w:p>
            <w:pPr>
              <w:adjustRightInd w:val="0"/>
              <w:snapToGrid w:val="0"/>
              <w:jc w:val="center"/>
              <w:rPr>
                <w:rFonts w:hint="default" w:cs="Times New Roman"/>
                <w:b w:val="0"/>
                <w:bCs w:val="0"/>
                <w:i w:val="0"/>
                <w:iCs w:val="0"/>
                <w:color w:val="auto"/>
                <w:sz w:val="21"/>
                <w:szCs w:val="21"/>
                <w:u w:val="none"/>
                <w:lang w:val="en-US" w:eastAsia="zh-CN"/>
              </w:rPr>
            </w:pPr>
          </w:p>
        </w:tc>
      </w:tr>
    </w:tbl>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督导检查单位：                           督导负责人：</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填报时间：                               填报人：</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cs="Times New Roman"/>
          <w:b w:val="0"/>
          <w:bCs w:val="0"/>
          <w:i w:val="0"/>
          <w:iCs w:val="0"/>
          <w:color w:val="auto"/>
          <w:sz w:val="24"/>
          <w:szCs w:val="24"/>
          <w:u w:val="none"/>
          <w:lang w:val="en-US" w:eastAsia="zh-CN"/>
        </w:rPr>
        <w:sectPr>
          <w:pgSz w:w="11906" w:h="16838"/>
          <w:pgMar w:top="1417" w:right="1797" w:bottom="1417" w:left="1797" w:header="851" w:footer="850"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s="Times New Roman"/>
          <w:b w:val="0"/>
          <w:bCs w:val="0"/>
          <w:i w:val="0"/>
          <w:iCs w:val="0"/>
          <w:color w:val="auto"/>
          <w:sz w:val="24"/>
          <w:szCs w:val="24"/>
          <w:u w:val="none"/>
          <w:lang w:val="en-US" w:eastAsia="zh-CN"/>
        </w:rPr>
        <w:t>保存单位：                               保存期限：3年</w:t>
      </w:r>
    </w:p>
    <w:p>
      <w:pPr>
        <w:spacing w:line="360" w:lineRule="auto"/>
        <w:rPr>
          <w:rFonts w:hint="default"/>
          <w:b/>
          <w:bCs/>
          <w:color w:val="auto"/>
          <w:sz w:val="24"/>
          <w:szCs w:val="24"/>
          <w:lang w:val="en-US" w:eastAsia="zh-CN"/>
        </w:rPr>
      </w:pPr>
      <w:r>
        <w:rPr>
          <w:rFonts w:hint="eastAsia"/>
          <w:b/>
          <w:bCs/>
          <w:color w:val="auto"/>
          <w:sz w:val="24"/>
          <w:szCs w:val="24"/>
          <w:lang w:val="en-US" w:eastAsia="zh-CN"/>
        </w:rPr>
        <w:t>附件10：</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b/>
          <w:bCs/>
          <w:color w:val="auto"/>
          <w:sz w:val="32"/>
          <w:szCs w:val="32"/>
          <w:lang w:val="en-US" w:eastAsia="zh-CN"/>
        </w:rPr>
      </w:pPr>
      <w:r>
        <w:rPr>
          <w:rFonts w:hint="eastAsia"/>
          <w:b/>
          <w:bCs/>
          <w:color w:val="auto"/>
          <w:sz w:val="32"/>
          <w:szCs w:val="32"/>
          <w:lang w:val="en-US" w:eastAsia="zh-CN"/>
        </w:rPr>
        <w:t>抚松县重污染天气事件信息报告表</w:t>
      </w:r>
    </w:p>
    <w:tbl>
      <w:tblPr>
        <w:tblStyle w:val="21"/>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1544"/>
        <w:gridCol w:w="1544"/>
        <w:gridCol w:w="1544"/>
        <w:gridCol w:w="1544"/>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污染时间</w:t>
            </w:r>
          </w:p>
        </w:tc>
        <w:tc>
          <w:tcPr>
            <w:tcW w:w="3088" w:type="dxa"/>
            <w:gridSpan w:val="2"/>
            <w:tcBorders>
              <w:tl2br w:val="nil"/>
              <w:tr2bl w:val="nil"/>
            </w:tcBorders>
            <w:vAlign w:val="center"/>
          </w:tcPr>
          <w:p>
            <w:pPr>
              <w:adjustRightInd w:val="0"/>
              <w:snapToGrid w:val="0"/>
              <w:jc w:val="center"/>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自   年   月   日   时</w:t>
            </w:r>
          </w:p>
          <w:p>
            <w:pPr>
              <w:adjustRightInd w:val="0"/>
              <w:snapToGrid w:val="0"/>
              <w:jc w:val="center"/>
              <w:rPr>
                <w:rFonts w:hint="default"/>
                <w:color w:val="auto"/>
                <w:lang w:val="en-US" w:eastAsia="zh-CN"/>
              </w:rPr>
            </w:pPr>
            <w:r>
              <w:rPr>
                <w:rFonts w:hint="eastAsia" w:cs="Times New Roman"/>
                <w:b w:val="0"/>
                <w:bCs w:val="0"/>
                <w:i w:val="0"/>
                <w:iCs w:val="0"/>
                <w:color w:val="auto"/>
                <w:sz w:val="21"/>
                <w:szCs w:val="21"/>
                <w:u w:val="none"/>
                <w:lang w:val="en-US" w:eastAsia="zh-CN"/>
              </w:rPr>
              <w:t>至   年   月   日   时</w:t>
            </w:r>
          </w:p>
        </w:tc>
        <w:tc>
          <w:tcPr>
            <w:tcW w:w="1544"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污染区域</w:t>
            </w:r>
          </w:p>
        </w:tc>
        <w:tc>
          <w:tcPr>
            <w:tcW w:w="3090"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预测AQI范围</w:t>
            </w:r>
          </w:p>
        </w:tc>
        <w:tc>
          <w:tcPr>
            <w:tcW w:w="1544"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544"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首要污染物</w:t>
            </w:r>
          </w:p>
        </w:tc>
        <w:tc>
          <w:tcPr>
            <w:tcW w:w="1544"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544"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质量级别</w:t>
            </w:r>
          </w:p>
        </w:tc>
        <w:tc>
          <w:tcPr>
            <w:tcW w:w="1546"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1632" w:type="dxa"/>
            <w:vMerge w:val="restart"/>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专家委员会</w:t>
            </w:r>
          </w:p>
        </w:tc>
        <w:tc>
          <w:tcPr>
            <w:tcW w:w="7722" w:type="dxa"/>
            <w:gridSpan w:val="5"/>
            <w:tcBorders>
              <w:tl2br w:val="nil"/>
              <w:tr2bl w:val="nil"/>
            </w:tcBorders>
            <w:vAlign w:val="top"/>
          </w:tcPr>
          <w:p>
            <w:pPr>
              <w:adjustRightInd w:val="0"/>
              <w:snapToGrid w:val="0"/>
              <w:jc w:val="both"/>
              <w:rPr>
                <w:rFonts w:hint="eastAsia" w:cs="Times New Roman"/>
                <w:b w:val="0"/>
                <w:bCs w:val="0"/>
                <w:i w:val="0"/>
                <w:iCs w:val="0"/>
                <w:color w:val="auto"/>
                <w:sz w:val="21"/>
                <w:szCs w:val="21"/>
                <w:u w:val="none"/>
                <w:lang w:val="en-US" w:eastAsia="zh-CN"/>
              </w:rPr>
            </w:pPr>
          </w:p>
          <w:p>
            <w:pPr>
              <w:adjustRightInd w:val="0"/>
              <w:snapToGrid w:val="0"/>
              <w:jc w:val="both"/>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专家意见：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2" w:type="dxa"/>
            <w:vMerge w:val="continue"/>
            <w:tcBorders>
              <w:tl2br w:val="nil"/>
              <w:tr2bl w:val="nil"/>
            </w:tcBorders>
            <w:vAlign w:val="center"/>
          </w:tcPr>
          <w:p>
            <w:pPr>
              <w:adjustRightInd w:val="0"/>
              <w:snapToGrid w:val="0"/>
              <w:jc w:val="center"/>
              <w:rPr>
                <w:rFonts w:hint="eastAsia" w:cs="Times New Roman"/>
                <w:b w:val="0"/>
                <w:bCs w:val="0"/>
                <w:i w:val="0"/>
                <w:iCs w:val="0"/>
                <w:color w:val="auto"/>
                <w:sz w:val="21"/>
                <w:szCs w:val="21"/>
                <w:u w:val="none"/>
                <w:lang w:val="en-US" w:eastAsia="zh-CN"/>
              </w:rPr>
            </w:pPr>
          </w:p>
        </w:tc>
        <w:tc>
          <w:tcPr>
            <w:tcW w:w="7722" w:type="dxa"/>
            <w:gridSpan w:val="5"/>
            <w:tcBorders>
              <w:tl2br w:val="nil"/>
              <w:tr2bl w:val="nil"/>
            </w:tcBorders>
            <w:vAlign w:val="center"/>
          </w:tcPr>
          <w:p>
            <w:pPr>
              <w:adjustRightInd w:val="0"/>
              <w:snapToGrid w:val="0"/>
              <w:jc w:val="both"/>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专家签字：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预警级别</w:t>
            </w:r>
          </w:p>
        </w:tc>
        <w:tc>
          <w:tcPr>
            <w:tcW w:w="3088"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544"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批准领导</w:t>
            </w:r>
          </w:p>
        </w:tc>
        <w:tc>
          <w:tcPr>
            <w:tcW w:w="3090"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值班员</w:t>
            </w:r>
          </w:p>
        </w:tc>
        <w:tc>
          <w:tcPr>
            <w:tcW w:w="3088"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544"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联系电话</w:t>
            </w:r>
          </w:p>
        </w:tc>
        <w:tc>
          <w:tcPr>
            <w:tcW w:w="3090"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9" w:hRule="atLeast"/>
          <w:jc w:val="center"/>
        </w:trPr>
        <w:tc>
          <w:tcPr>
            <w:tcW w:w="163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重污染天气事件经过</w:t>
            </w:r>
          </w:p>
        </w:tc>
        <w:tc>
          <w:tcPr>
            <w:tcW w:w="7722" w:type="dxa"/>
            <w:gridSpan w:val="5"/>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说明</w:t>
            </w:r>
          </w:p>
        </w:tc>
        <w:tc>
          <w:tcPr>
            <w:tcW w:w="7722" w:type="dxa"/>
            <w:gridSpan w:val="5"/>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事件经过：简要叙述时间的基本过程、预测预警信息情况、影响范围、发展态势、应急响应措施、采取处置情况及下一步建议等。</w:t>
            </w:r>
          </w:p>
        </w:tc>
      </w:tr>
    </w:tbl>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cs="Times New Roman"/>
          <w:b w:val="0"/>
          <w:bCs w:val="0"/>
          <w:i w:val="0"/>
          <w:iCs w:val="0"/>
          <w:color w:val="auto"/>
          <w:sz w:val="24"/>
          <w:szCs w:val="24"/>
          <w:u w:val="none"/>
          <w:lang w:val="en-US" w:eastAsia="zh-CN"/>
        </w:rPr>
      </w:pPr>
      <w:r>
        <w:rPr>
          <w:rFonts w:hint="eastAsia" w:cs="Times New Roman"/>
          <w:b w:val="0"/>
          <w:bCs w:val="0"/>
          <w:i w:val="0"/>
          <w:iCs w:val="0"/>
          <w:color w:val="auto"/>
          <w:sz w:val="24"/>
          <w:szCs w:val="24"/>
          <w:u w:val="none"/>
          <w:lang w:val="en-US" w:eastAsia="zh-CN"/>
        </w:rPr>
        <w:t>报送单位（盖章）：</w:t>
      </w:r>
    </w:p>
    <w:p>
      <w:pPr>
        <w:keepNext w:val="0"/>
        <w:keepLines w:val="0"/>
        <w:pageBreakBefore w:val="0"/>
        <w:widowControl w:val="0"/>
        <w:kinsoku/>
        <w:wordWrap/>
        <w:overflowPunct/>
        <w:topLinePunct w:val="0"/>
        <w:autoSpaceDE/>
        <w:autoSpaceDN/>
        <w:bidi w:val="0"/>
        <w:adjustRightInd w:val="0"/>
        <w:snapToGrid/>
        <w:spacing w:line="360" w:lineRule="auto"/>
        <w:jc w:val="right"/>
        <w:textAlignment w:val="auto"/>
        <w:rPr>
          <w:rFonts w:hint="eastAsia" w:cs="Times New Roman"/>
          <w:b w:val="0"/>
          <w:bCs w:val="0"/>
          <w:i w:val="0"/>
          <w:iCs w:val="0"/>
          <w:color w:val="auto"/>
          <w:sz w:val="24"/>
          <w:szCs w:val="24"/>
          <w:u w:val="none"/>
          <w:lang w:val="en-US" w:eastAsia="zh-CN"/>
        </w:rPr>
        <w:sectPr>
          <w:pgSz w:w="11906" w:h="16838"/>
          <w:pgMar w:top="1417" w:right="1797" w:bottom="1417" w:left="1797" w:header="851" w:footer="850"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s="Times New Roman"/>
          <w:b w:val="0"/>
          <w:bCs w:val="0"/>
          <w:i w:val="0"/>
          <w:iCs w:val="0"/>
          <w:color w:val="auto"/>
          <w:sz w:val="24"/>
          <w:szCs w:val="24"/>
          <w:u w:val="none"/>
          <w:lang w:val="en-US" w:eastAsia="zh-CN"/>
        </w:rPr>
        <w:t>填报时间：     年     月     日     时     分</w:t>
      </w:r>
    </w:p>
    <w:p>
      <w:pPr>
        <w:spacing w:line="360" w:lineRule="auto"/>
        <w:rPr>
          <w:rFonts w:hint="eastAsia"/>
          <w:b/>
          <w:bCs/>
          <w:color w:val="auto"/>
          <w:sz w:val="24"/>
          <w:szCs w:val="24"/>
          <w:lang w:val="en-US" w:eastAsia="zh-CN"/>
        </w:rPr>
      </w:pPr>
      <w:r>
        <w:rPr>
          <w:rFonts w:hint="eastAsia"/>
          <w:b/>
          <w:bCs/>
          <w:color w:val="auto"/>
          <w:sz w:val="24"/>
          <w:szCs w:val="24"/>
          <w:lang w:val="en-US" w:eastAsia="zh-CN"/>
        </w:rPr>
        <w:t>附件11：</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b/>
          <w:bCs/>
          <w:color w:val="auto"/>
          <w:sz w:val="32"/>
          <w:szCs w:val="32"/>
          <w:lang w:val="en-US" w:eastAsia="zh-CN"/>
        </w:rPr>
      </w:pPr>
      <w:r>
        <w:rPr>
          <w:rFonts w:hint="eastAsia"/>
          <w:b/>
          <w:bCs/>
          <w:color w:val="auto"/>
          <w:sz w:val="32"/>
          <w:szCs w:val="32"/>
          <w:lang w:val="en-US" w:eastAsia="zh-CN"/>
        </w:rPr>
        <w:t>抚松县重污染天气应急效果评估表</w:t>
      </w:r>
    </w:p>
    <w:tbl>
      <w:tblPr>
        <w:tblStyle w:val="21"/>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900"/>
        <w:gridCol w:w="740"/>
        <w:gridCol w:w="610"/>
        <w:gridCol w:w="930"/>
        <w:gridCol w:w="1125"/>
        <w:gridCol w:w="921"/>
        <w:gridCol w:w="699"/>
        <w:gridCol w:w="2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预案名称</w:t>
            </w:r>
          </w:p>
        </w:tc>
        <w:tc>
          <w:tcPr>
            <w:tcW w:w="3180" w:type="dxa"/>
            <w:gridSpan w:val="4"/>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125"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应急时间</w:t>
            </w:r>
          </w:p>
        </w:tc>
        <w:tc>
          <w:tcPr>
            <w:tcW w:w="3897" w:type="dxa"/>
            <w:gridSpan w:val="3"/>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组织部门</w:t>
            </w:r>
          </w:p>
        </w:tc>
        <w:tc>
          <w:tcPr>
            <w:tcW w:w="1640"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540"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总指挥</w:t>
            </w:r>
          </w:p>
        </w:tc>
        <w:tc>
          <w:tcPr>
            <w:tcW w:w="1125"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620"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应急地点</w:t>
            </w:r>
          </w:p>
        </w:tc>
        <w:tc>
          <w:tcPr>
            <w:tcW w:w="2277"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5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参加部门和单位</w:t>
            </w:r>
          </w:p>
        </w:tc>
        <w:tc>
          <w:tcPr>
            <w:tcW w:w="8202" w:type="dxa"/>
            <w:gridSpan w:val="8"/>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5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预测预警信息</w:t>
            </w:r>
          </w:p>
        </w:tc>
        <w:tc>
          <w:tcPr>
            <w:tcW w:w="8202" w:type="dxa"/>
            <w:gridSpan w:val="8"/>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5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应急过程描述</w:t>
            </w:r>
          </w:p>
        </w:tc>
        <w:tc>
          <w:tcPr>
            <w:tcW w:w="8202" w:type="dxa"/>
            <w:gridSpan w:val="8"/>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52"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预案适宜性充分性评审</w:t>
            </w:r>
          </w:p>
        </w:tc>
        <w:tc>
          <w:tcPr>
            <w:tcW w:w="8202"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210" w:firstLineChars="100"/>
              <w:jc w:val="both"/>
              <w:textAlignment w:val="auto"/>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适宜性：□完全能够执行        □执行过程不够顺利     □明显不适宜</w:t>
            </w:r>
          </w:p>
          <w:p>
            <w:pPr>
              <w:keepNext w:val="0"/>
              <w:keepLines w:val="0"/>
              <w:pageBreakBefore w:val="0"/>
              <w:widowControl w:val="0"/>
              <w:kinsoku/>
              <w:wordWrap/>
              <w:overflowPunct/>
              <w:topLinePunct w:val="0"/>
              <w:autoSpaceDE/>
              <w:autoSpaceDN/>
              <w:bidi w:val="0"/>
              <w:adjustRightInd w:val="0"/>
              <w:snapToGrid/>
              <w:spacing w:line="360" w:lineRule="auto"/>
              <w:ind w:firstLine="210" w:firstLineChars="100"/>
              <w:jc w:val="both"/>
              <w:textAlignment w:val="auto"/>
              <w:rPr>
                <w:rFonts w:hint="default"/>
                <w:color w:val="auto"/>
                <w:lang w:val="en-US" w:eastAsia="zh-CN"/>
              </w:rPr>
            </w:pPr>
            <w:r>
              <w:rPr>
                <w:rFonts w:hint="eastAsia" w:cs="Times New Roman"/>
                <w:b w:val="0"/>
                <w:bCs w:val="0"/>
                <w:i w:val="0"/>
                <w:iCs w:val="0"/>
                <w:color w:val="auto"/>
                <w:sz w:val="21"/>
                <w:szCs w:val="21"/>
                <w:u w:val="none"/>
                <w:lang w:val="en-US" w:eastAsia="zh-CN"/>
              </w:rPr>
              <w:t>充分性：□完全满足应急要求    □基本满足需要完善     □不充分，必须修改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2" w:type="dxa"/>
            <w:vMerge w:val="restart"/>
            <w:tcBorders>
              <w:tl2br w:val="nil"/>
              <w:tr2bl w:val="nil"/>
            </w:tcBorders>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应急措施落实情况评估</w:t>
            </w:r>
          </w:p>
          <w:p>
            <w:pPr>
              <w:adjustRightInd w:val="0"/>
              <w:snapToGrid w:val="0"/>
              <w:jc w:val="center"/>
              <w:rPr>
                <w:rFonts w:hint="default" w:cs="Times New Roman"/>
                <w:b w:val="0"/>
                <w:bCs w:val="0"/>
                <w:i w:val="0"/>
                <w:iCs w:val="0"/>
                <w:color w:val="auto"/>
                <w:sz w:val="21"/>
                <w:szCs w:val="21"/>
                <w:u w:val="none"/>
                <w:lang w:val="en-US" w:eastAsia="zh-CN"/>
              </w:rPr>
            </w:pPr>
          </w:p>
        </w:tc>
        <w:tc>
          <w:tcPr>
            <w:tcW w:w="900" w:type="dxa"/>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类型</w:t>
            </w:r>
          </w:p>
        </w:tc>
        <w:tc>
          <w:tcPr>
            <w:tcW w:w="1350"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部门</w:t>
            </w:r>
          </w:p>
        </w:tc>
        <w:tc>
          <w:tcPr>
            <w:tcW w:w="2976" w:type="dxa"/>
            <w:gridSpan w:val="3"/>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应采取措施</w:t>
            </w:r>
          </w:p>
        </w:tc>
        <w:tc>
          <w:tcPr>
            <w:tcW w:w="2976" w:type="dxa"/>
            <w:gridSpan w:val="2"/>
            <w:tcBorders>
              <w:tl2br w:val="nil"/>
              <w:tr2bl w:val="nil"/>
            </w:tcBorders>
            <w:vAlign w:val="center"/>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restart"/>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指挥部</w:t>
            </w:r>
          </w:p>
        </w:tc>
        <w:tc>
          <w:tcPr>
            <w:tcW w:w="1350"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办公室</w:t>
            </w:r>
          </w:p>
        </w:tc>
        <w:tc>
          <w:tcPr>
            <w:tcW w:w="2976" w:type="dxa"/>
            <w:gridSpan w:val="3"/>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2976"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监测预警组</w:t>
            </w:r>
          </w:p>
        </w:tc>
        <w:tc>
          <w:tcPr>
            <w:tcW w:w="2976" w:type="dxa"/>
            <w:gridSpan w:val="3"/>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2976"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专家组</w:t>
            </w:r>
          </w:p>
        </w:tc>
        <w:tc>
          <w:tcPr>
            <w:tcW w:w="2976" w:type="dxa"/>
            <w:gridSpan w:val="3"/>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2976"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督导组</w:t>
            </w:r>
          </w:p>
        </w:tc>
        <w:tc>
          <w:tcPr>
            <w:tcW w:w="2976" w:type="dxa"/>
            <w:gridSpan w:val="3"/>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2976"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1350"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保障组</w:t>
            </w:r>
          </w:p>
        </w:tc>
        <w:tc>
          <w:tcPr>
            <w:tcW w:w="2976" w:type="dxa"/>
            <w:gridSpan w:val="3"/>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2976"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restart"/>
            <w:tcBorders>
              <w:tl2br w:val="nil"/>
              <w:tr2bl w:val="nil"/>
            </w:tcBorders>
            <w:vAlign w:val="center"/>
          </w:tcPr>
          <w:p>
            <w:pPr>
              <w:adjustRightInd w:val="0"/>
              <w:snapToGrid w:val="0"/>
              <w:jc w:val="center"/>
              <w:rPr>
                <w:rFonts w:hint="eastAsia"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县直</w:t>
            </w:r>
          </w:p>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部门</w:t>
            </w:r>
          </w:p>
        </w:tc>
        <w:tc>
          <w:tcPr>
            <w:tcW w:w="1350" w:type="dxa"/>
            <w:gridSpan w:val="2"/>
            <w:tcBorders>
              <w:tl2br w:val="nil"/>
              <w:tr2bl w:val="nil"/>
            </w:tcBorders>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白山市生态环境局抚松县分局</w:t>
            </w:r>
          </w:p>
        </w:tc>
        <w:tc>
          <w:tcPr>
            <w:tcW w:w="2976" w:type="dxa"/>
            <w:gridSpan w:val="3"/>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2976" w:type="dxa"/>
            <w:gridSpan w:val="2"/>
            <w:tcBorders>
              <w:tl2br w:val="nil"/>
              <w:tr2bl w:val="nil"/>
            </w:tcBorders>
            <w:vAlign w:val="center"/>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县气象局</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县发展和改革局</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县财政局</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县住房和城乡建设局</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县工业和信息化局</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县交通局</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县教育局</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restart"/>
            <w:vAlign w:val="center"/>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镇、乡</w:t>
            </w: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松江河镇</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泉阳镇</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露水河镇</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仙人桥镇</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万良镇</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新屯子镇</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东港镇</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漫江镇</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北岗镇</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兴参镇</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兴隆乡</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抽水乡</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沿江乡</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restart"/>
            <w:vAlign w:val="center"/>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企事业单位及工地</w:t>
            </w: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抚松县中药有限公司</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spacing w:val="-11"/>
                <w:kern w:val="2"/>
                <w:sz w:val="21"/>
                <w:szCs w:val="21"/>
                <w:u w:val="none"/>
                <w:lang w:val="en-US" w:eastAsia="zh-CN" w:bidi="ar-SA"/>
              </w:rPr>
            </w:pPr>
            <w:r>
              <w:rPr>
                <w:rFonts w:hint="eastAsia" w:cs="Times New Roman"/>
                <w:b w:val="0"/>
                <w:bCs w:val="0"/>
                <w:i w:val="0"/>
                <w:iCs w:val="0"/>
                <w:color w:val="auto"/>
                <w:spacing w:val="-11"/>
                <w:sz w:val="21"/>
                <w:szCs w:val="21"/>
                <w:u w:val="none"/>
                <w:lang w:val="en-US" w:eastAsia="zh-CN"/>
              </w:rPr>
              <w:t>抚松长白山啤酒有限公司</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spacing w:val="-11"/>
                <w:kern w:val="2"/>
                <w:sz w:val="21"/>
                <w:szCs w:val="21"/>
                <w:u w:val="none"/>
                <w:lang w:val="en-US" w:eastAsia="zh-CN" w:bidi="ar-SA"/>
              </w:rPr>
            </w:pPr>
            <w:r>
              <w:rPr>
                <w:rFonts w:hint="eastAsia" w:cs="Times New Roman"/>
                <w:b w:val="0"/>
                <w:bCs w:val="0"/>
                <w:i w:val="0"/>
                <w:iCs w:val="0"/>
                <w:color w:val="auto"/>
                <w:spacing w:val="-11"/>
                <w:sz w:val="21"/>
                <w:szCs w:val="21"/>
                <w:u w:val="none"/>
                <w:lang w:val="en-US" w:eastAsia="zh-CN"/>
              </w:rPr>
              <w:t>抚松县盛源热力有限公司</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抚松县盛源热力有限公司温泉站</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新城热力有限公司</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长白山万达旅游度假区供暖公司</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pacing w:val="-11"/>
                <w:sz w:val="21"/>
                <w:szCs w:val="21"/>
                <w:u w:val="none"/>
                <w:lang w:val="en-US" w:eastAsia="zh-CN"/>
              </w:rPr>
              <w:t>抚松县鸿源供热有限公司</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抚松京热热力有限责任公司</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vAlign w:val="center"/>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cs="Times New Roman"/>
                <w:b w:val="0"/>
                <w:bCs w:val="0"/>
                <w:i w:val="0"/>
                <w:iCs w:val="0"/>
                <w:color w:val="auto"/>
                <w:sz w:val="21"/>
                <w:szCs w:val="21"/>
                <w:u w:val="none"/>
                <w:lang w:val="en-US" w:eastAsia="zh-CN"/>
              </w:rPr>
              <w:t>抚松县泉阳立公热力有限公司</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vAlign w:val="center"/>
          </w:tcPr>
          <w:p>
            <w:pPr>
              <w:adjustRightInd w:val="0"/>
              <w:snapToGrid w:val="0"/>
              <w:jc w:val="center"/>
              <w:rPr>
                <w:rFonts w:hint="default" w:ascii="Times New Roman" w:hAnsi="Times New Roman" w:eastAsia="宋体" w:cs="Times New Roman"/>
                <w:b w:val="0"/>
                <w:bCs w:val="0"/>
                <w:i w:val="0"/>
                <w:iCs w:val="0"/>
                <w:color w:val="auto"/>
                <w:kern w:val="2"/>
                <w:sz w:val="21"/>
                <w:szCs w:val="21"/>
                <w:u w:val="none"/>
                <w:lang w:val="en-US" w:eastAsia="zh-CN" w:bidi="ar-SA"/>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spacing w:val="-11"/>
                <w:kern w:val="2"/>
                <w:sz w:val="21"/>
                <w:szCs w:val="21"/>
                <w:u w:val="none"/>
                <w:lang w:val="en-US" w:eastAsia="zh-CN" w:bidi="ar-SA"/>
              </w:rPr>
            </w:pPr>
            <w:r>
              <w:rPr>
                <w:rFonts w:hint="eastAsia" w:cs="Times New Roman"/>
                <w:b w:val="0"/>
                <w:bCs w:val="0"/>
                <w:i w:val="0"/>
                <w:iCs w:val="0"/>
                <w:color w:val="auto"/>
                <w:spacing w:val="-11"/>
                <w:sz w:val="21"/>
                <w:szCs w:val="21"/>
                <w:u w:val="none"/>
                <w:lang w:val="en-US" w:eastAsia="zh-CN"/>
              </w:rPr>
              <w:t>抚松县泉阳立公热力有限公司2号站</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spacing w:val="-11"/>
                <w:kern w:val="2"/>
                <w:sz w:val="21"/>
                <w:szCs w:val="21"/>
                <w:u w:val="none"/>
                <w:lang w:val="en-US" w:eastAsia="zh-CN" w:bidi="ar-SA"/>
              </w:rPr>
            </w:pPr>
            <w:r>
              <w:rPr>
                <w:rFonts w:hint="eastAsia" w:cs="Times New Roman"/>
                <w:b w:val="0"/>
                <w:bCs w:val="0"/>
                <w:i w:val="0"/>
                <w:iCs w:val="0"/>
                <w:color w:val="auto"/>
                <w:spacing w:val="-11"/>
                <w:sz w:val="21"/>
                <w:szCs w:val="21"/>
                <w:u w:val="none"/>
                <w:lang w:val="en-US" w:eastAsia="zh-CN"/>
              </w:rPr>
              <w:t>抚松县恒岐热力有限公司</w:t>
            </w: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900" w:type="dxa"/>
            <w:vMerge w:val="continue"/>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vAlign w:val="center"/>
          </w:tcPr>
          <w:p>
            <w:pPr>
              <w:adjustRightInd w:val="0"/>
              <w:snapToGrid w:val="0"/>
              <w:jc w:val="center"/>
              <w:rPr>
                <w:rFonts w:hint="eastAsia" w:ascii="Times New Roman" w:hAnsi="Times New Roman" w:eastAsia="宋体" w:cs="Times New Roman"/>
                <w:b w:val="0"/>
                <w:bCs w:val="0"/>
                <w:i w:val="0"/>
                <w:iCs w:val="0"/>
                <w:color w:val="auto"/>
                <w:kern w:val="2"/>
                <w:sz w:val="21"/>
                <w:szCs w:val="21"/>
                <w:u w:val="none"/>
                <w:lang w:val="en-US" w:eastAsia="zh-CN" w:bidi="ar-SA"/>
              </w:rPr>
            </w:pPr>
          </w:p>
        </w:tc>
        <w:tc>
          <w:tcPr>
            <w:tcW w:w="0" w:type="auto"/>
            <w:gridSpan w:val="3"/>
          </w:tcPr>
          <w:p>
            <w:pPr>
              <w:adjustRightInd w:val="0"/>
              <w:snapToGrid w:val="0"/>
              <w:jc w:val="center"/>
              <w:rPr>
                <w:rFonts w:hint="default" w:cs="Times New Roman"/>
                <w:b w:val="0"/>
                <w:bCs w:val="0"/>
                <w:i w:val="0"/>
                <w:iCs w:val="0"/>
                <w:color w:val="auto"/>
                <w:sz w:val="21"/>
                <w:szCs w:val="21"/>
                <w:u w:val="none"/>
                <w:lang w:val="en-US" w:eastAsia="zh-CN"/>
              </w:rPr>
            </w:pPr>
          </w:p>
        </w:tc>
        <w:tc>
          <w:tcPr>
            <w:tcW w:w="0" w:type="auto"/>
            <w:gridSpan w:val="2"/>
          </w:tcPr>
          <w:p>
            <w:pPr>
              <w:adjustRightInd w:val="0"/>
              <w:snapToGrid w:val="0"/>
              <w:jc w:val="center"/>
              <w:rPr>
                <w:rFonts w:hint="default" w:cs="Times New Roman"/>
                <w:b w:val="0"/>
                <w:bCs w:val="0"/>
                <w:i w:val="0"/>
                <w:iCs w:val="0"/>
                <w:color w:val="auto"/>
                <w:sz w:val="21"/>
                <w:szCs w:val="21"/>
                <w:u w:val="none"/>
                <w:lang w:val="en-US" w:eastAsia="zh-CN"/>
              </w:rPr>
            </w:pPr>
          </w:p>
        </w:tc>
      </w:tr>
    </w:tbl>
    <w:p>
      <w:pPr>
        <w:pStyle w:val="26"/>
        <w:rPr>
          <w:rFonts w:hint="default"/>
          <w:color w:val="auto"/>
          <w:lang w:val="en-US" w:eastAsia="zh-CN"/>
        </w:rPr>
      </w:pPr>
    </w:p>
    <w:sectPr>
      <w:pgSz w:w="11906" w:h="16838"/>
      <w:pgMar w:top="1417" w:right="1797" w:bottom="1417" w:left="179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firstLine="3145"/>
      <w:jc w:val="left"/>
      <w:rPr>
        <w:sz w:val="36"/>
        <w:szCs w:val="3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eastAsia="宋体"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eastAsia="宋体" w:cs="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pPr>
                          <w:r>
                            <w:fldChar w:fldCharType="begin"/>
                          </w:r>
                          <w:r>
                            <w:instrText xml:space="preserve"> PAGE  \* MERGEFORMAT </w:instrText>
                          </w:r>
                          <w:r>
                            <w:fldChar w:fldCharType="separate"/>
                          </w:r>
                          <w:r>
                            <w:t>IV</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pPr>
                      <w:pStyle w:val="11"/>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216"/>
        <w:tab w:val="left" w:pos="4716"/>
      </w:tabs>
      <w:jc w:val="left"/>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jc w:val="center"/>
                          </w:pPr>
                          <w:r>
                            <w:fldChar w:fldCharType="begin"/>
                          </w:r>
                          <w:r>
                            <w:rPr>
                              <w:rStyle w:val="24"/>
                              <w:rFonts w:ascii="Times New Roman" w:hAnsi="Times New Roman"/>
                              <w:sz w:val="18"/>
                            </w:rPr>
                            <w:instrText xml:space="preserve">PAGE  </w:instrText>
                          </w:r>
                          <w:r>
                            <w:fldChar w:fldCharType="separate"/>
                          </w:r>
                          <w:r>
                            <w:rPr>
                              <w:rStyle w:val="24"/>
                              <w:rFonts w:ascii="Times New Roman" w:hAnsi="Times New Roman"/>
                              <w:sz w:val="18"/>
                            </w:rP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pPr>
                      <w:pStyle w:val="11"/>
                      <w:jc w:val="center"/>
                    </w:pPr>
                    <w:r>
                      <w:fldChar w:fldCharType="begin"/>
                    </w:r>
                    <w:r>
                      <w:rPr>
                        <w:rStyle w:val="24"/>
                        <w:rFonts w:ascii="Times New Roman" w:hAnsi="Times New Roman"/>
                        <w:sz w:val="18"/>
                      </w:rPr>
                      <w:instrText xml:space="preserve">PAGE  </w:instrText>
                    </w:r>
                    <w:r>
                      <w:fldChar w:fldCharType="separate"/>
                    </w:r>
                    <w:r>
                      <w:rPr>
                        <w:rStyle w:val="24"/>
                        <w:rFonts w:ascii="Times New Roman" w:hAnsi="Times New Roman"/>
                        <w:sz w:val="18"/>
                      </w:rPr>
                      <w:t>4</w:t>
                    </w:r>
                    <w:r>
                      <w:fldChar w:fldCharType="end"/>
                    </w:r>
                  </w:p>
                </w:txbxContent>
              </v:textbox>
            </v:shape>
          </w:pict>
        </mc:Fallback>
      </mc:AlternateContent>
    </w:r>
    <w:r>
      <w:rPr>
        <w:rFonts w:hint="eastAsia"/>
        <w:lang w:eastAsia="zh-CN"/>
      </w:rPr>
      <w:tab/>
    </w:r>
    <w:r>
      <w:rPr>
        <w:rFonts w:hint="eastAsia"/>
        <w:lang w:eastAsia="zh-CN"/>
      </w:rPr>
      <w:tab/>
    </w:r>
    <w:r>
      <w:rPr>
        <w:rFonts w:hint="eastAsia"/>
        <w:lang w:eastAsia="zh-CN"/>
      </w:rPr>
      <w:tab/>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hint="eastAsia" w:ascii="Times New Roman" w:hAnsi="Times New Roman" w:eastAsia="宋体"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0"/>
      </w:pBd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抚松县重污染天气</w:t>
    </w:r>
    <w:r>
      <w:rPr>
        <w:rFonts w:hint="eastAsia" w:asciiTheme="minorEastAsia" w:hAnsiTheme="minorEastAsia" w:eastAsiaTheme="minorEastAsia" w:cstheme="minorEastAsia"/>
      </w:rPr>
      <w:t>应急预案</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修订版</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AD118A"/>
    <w:multiLevelType w:val="multilevel"/>
    <w:tmpl w:val="15AD118A"/>
    <w:lvl w:ilvl="0" w:tentative="0">
      <w:start w:val="1"/>
      <w:numFmt w:val="decimal"/>
      <w:lvlText w:val="%1"/>
      <w:lvlJc w:val="center"/>
      <w:pPr>
        <w:tabs>
          <w:tab w:val="left" w:pos="432"/>
        </w:tabs>
        <w:ind w:left="432" w:hanging="432"/>
      </w:pPr>
      <w:rPr>
        <w:rFonts w:hint="default" w:ascii="Times New Roman" w:hAnsi="Times New Roman" w:eastAsia="宋体" w:cs="Times New Roman"/>
      </w:rPr>
    </w:lvl>
    <w:lvl w:ilvl="1" w:tentative="0">
      <w:start w:val="1"/>
      <w:numFmt w:val="decimal"/>
      <w:lvlText w:val="%1.%2"/>
      <w:lvlJc w:val="left"/>
      <w:pPr>
        <w:tabs>
          <w:tab w:val="left" w:pos="575"/>
        </w:tabs>
        <w:ind w:left="575" w:hanging="575"/>
      </w:pPr>
      <w:rPr>
        <w:rFonts w:hint="default" w:ascii="Times New Roman" w:hAnsi="Times New Roman" w:eastAsia="宋体" w:cs="Times New Roman"/>
      </w:rPr>
    </w:lvl>
    <w:lvl w:ilvl="2" w:tentative="0">
      <w:start w:val="1"/>
      <w:numFmt w:val="decimal"/>
      <w:lvlText w:val="%1.%2.%3"/>
      <w:lvlJc w:val="left"/>
      <w:pPr>
        <w:tabs>
          <w:tab w:val="left" w:pos="720"/>
        </w:tabs>
        <w:ind w:left="720" w:hanging="720"/>
      </w:pPr>
      <w:rPr>
        <w:rFonts w:hint="default" w:ascii="Times New Roman" w:hAnsi="Times New Roman" w:eastAsia="宋体" w:cs="Times New Roman"/>
      </w:rPr>
    </w:lvl>
    <w:lvl w:ilvl="3" w:tentative="0">
      <w:start w:val="1"/>
      <w:numFmt w:val="decimal"/>
      <w:lvlRestart w:val="1"/>
      <w:pStyle w:val="6"/>
      <w:lvlText w:val="表%1-%4"/>
      <w:lvlJc w:val="center"/>
      <w:pPr>
        <w:tabs>
          <w:tab w:val="left" w:pos="864"/>
        </w:tabs>
        <w:ind w:left="864" w:hanging="864"/>
      </w:pPr>
      <w:rPr>
        <w:rFonts w:hint="default" w:ascii="Times New Roman" w:hAnsi="Times New Roman" w:eastAsia="宋体" w:cs="Times New Roman"/>
        <w:b/>
        <w:bCs/>
        <w:sz w:val="21"/>
        <w:szCs w:val="21"/>
        <w:u w:val="none"/>
      </w:rPr>
    </w:lvl>
    <w:lvl w:ilvl="4" w:tentative="0">
      <w:start w:val="1"/>
      <w:numFmt w:val="decimal"/>
      <w:lvlRestart w:val="1"/>
      <w:lvlText w:val="图%1-%5  "/>
      <w:lvlJc w:val="left"/>
      <w:pPr>
        <w:tabs>
          <w:tab w:val="left" w:pos="1008"/>
        </w:tabs>
        <w:ind w:left="1008" w:hanging="1008"/>
      </w:pPr>
      <w:rPr>
        <w:rFonts w:hint="default" w:ascii="宋体" w:hAnsi="宋体" w:eastAsia="宋体" w:cs="宋体"/>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3NjAyMmY0NWMwM2M1NTNhOTJiN2NkNDI0NzAzMGUifQ=="/>
  </w:docVars>
  <w:rsids>
    <w:rsidRoot w:val="00172A27"/>
    <w:rsid w:val="00072C34"/>
    <w:rsid w:val="003D0404"/>
    <w:rsid w:val="00563274"/>
    <w:rsid w:val="006E4A62"/>
    <w:rsid w:val="007D7F0E"/>
    <w:rsid w:val="00A3295D"/>
    <w:rsid w:val="00B30BFA"/>
    <w:rsid w:val="00EF5BA2"/>
    <w:rsid w:val="010A4C1F"/>
    <w:rsid w:val="01161381"/>
    <w:rsid w:val="016F45ED"/>
    <w:rsid w:val="01FD7E4B"/>
    <w:rsid w:val="02475246"/>
    <w:rsid w:val="02954528"/>
    <w:rsid w:val="029702A0"/>
    <w:rsid w:val="02C32E43"/>
    <w:rsid w:val="02D037B2"/>
    <w:rsid w:val="02E63E63"/>
    <w:rsid w:val="02F56D74"/>
    <w:rsid w:val="033B4BE7"/>
    <w:rsid w:val="03942A31"/>
    <w:rsid w:val="03A82039"/>
    <w:rsid w:val="03BA466F"/>
    <w:rsid w:val="03CB0AD9"/>
    <w:rsid w:val="03CC21CB"/>
    <w:rsid w:val="03CE5F43"/>
    <w:rsid w:val="04096F7B"/>
    <w:rsid w:val="041B0A5C"/>
    <w:rsid w:val="04275653"/>
    <w:rsid w:val="04B05649"/>
    <w:rsid w:val="05157BA2"/>
    <w:rsid w:val="051931EE"/>
    <w:rsid w:val="053C6EDC"/>
    <w:rsid w:val="054215BA"/>
    <w:rsid w:val="05595CE0"/>
    <w:rsid w:val="055C757F"/>
    <w:rsid w:val="056D353A"/>
    <w:rsid w:val="0599432F"/>
    <w:rsid w:val="05A76A4C"/>
    <w:rsid w:val="05CA333E"/>
    <w:rsid w:val="05CF5FA2"/>
    <w:rsid w:val="05DC1293"/>
    <w:rsid w:val="061E4834"/>
    <w:rsid w:val="06400C4E"/>
    <w:rsid w:val="064C13A1"/>
    <w:rsid w:val="0661309E"/>
    <w:rsid w:val="068524A6"/>
    <w:rsid w:val="06AE5BB8"/>
    <w:rsid w:val="06BA27AF"/>
    <w:rsid w:val="06C76C7A"/>
    <w:rsid w:val="06C947A0"/>
    <w:rsid w:val="06CB49BC"/>
    <w:rsid w:val="06D10CBB"/>
    <w:rsid w:val="06E16A24"/>
    <w:rsid w:val="06F20248"/>
    <w:rsid w:val="06F757B1"/>
    <w:rsid w:val="07107A2F"/>
    <w:rsid w:val="07140111"/>
    <w:rsid w:val="07153E89"/>
    <w:rsid w:val="07283BBC"/>
    <w:rsid w:val="073562D9"/>
    <w:rsid w:val="074D717F"/>
    <w:rsid w:val="075A189C"/>
    <w:rsid w:val="07680FC7"/>
    <w:rsid w:val="077E37DC"/>
    <w:rsid w:val="07B13BB2"/>
    <w:rsid w:val="07C531B9"/>
    <w:rsid w:val="07CD6512"/>
    <w:rsid w:val="07DD5F1D"/>
    <w:rsid w:val="082A3964"/>
    <w:rsid w:val="083E09CF"/>
    <w:rsid w:val="084542FA"/>
    <w:rsid w:val="084F5179"/>
    <w:rsid w:val="08680445"/>
    <w:rsid w:val="08716E9D"/>
    <w:rsid w:val="08907C6B"/>
    <w:rsid w:val="08B767AE"/>
    <w:rsid w:val="08B84ACC"/>
    <w:rsid w:val="08C47915"/>
    <w:rsid w:val="08C711B3"/>
    <w:rsid w:val="08D35DAA"/>
    <w:rsid w:val="08D77648"/>
    <w:rsid w:val="09045F63"/>
    <w:rsid w:val="09110DB0"/>
    <w:rsid w:val="09151F1E"/>
    <w:rsid w:val="092403B3"/>
    <w:rsid w:val="096B7D90"/>
    <w:rsid w:val="098350DA"/>
    <w:rsid w:val="09D26061"/>
    <w:rsid w:val="09E518F1"/>
    <w:rsid w:val="0A0761F3"/>
    <w:rsid w:val="0A1D44C6"/>
    <w:rsid w:val="0A7113D6"/>
    <w:rsid w:val="0A97074D"/>
    <w:rsid w:val="0AA36FA0"/>
    <w:rsid w:val="0AA552DE"/>
    <w:rsid w:val="0B582596"/>
    <w:rsid w:val="0B7A69B0"/>
    <w:rsid w:val="0BC829A6"/>
    <w:rsid w:val="0BED0F30"/>
    <w:rsid w:val="0C550884"/>
    <w:rsid w:val="0C87787A"/>
    <w:rsid w:val="0CE666EB"/>
    <w:rsid w:val="0D171979"/>
    <w:rsid w:val="0D4D6E83"/>
    <w:rsid w:val="0D913B3D"/>
    <w:rsid w:val="0DB74AD9"/>
    <w:rsid w:val="0DBC505E"/>
    <w:rsid w:val="0DCD1019"/>
    <w:rsid w:val="0DCE6B40"/>
    <w:rsid w:val="0E0407B3"/>
    <w:rsid w:val="0E0802A4"/>
    <w:rsid w:val="0E0C0CFF"/>
    <w:rsid w:val="0E1529C0"/>
    <w:rsid w:val="0E2B56D6"/>
    <w:rsid w:val="0E3746E5"/>
    <w:rsid w:val="0E444D05"/>
    <w:rsid w:val="0E477DC1"/>
    <w:rsid w:val="0E813BB2"/>
    <w:rsid w:val="0E8F0FFB"/>
    <w:rsid w:val="0E9B4C74"/>
    <w:rsid w:val="0EB5525C"/>
    <w:rsid w:val="0EB65F51"/>
    <w:rsid w:val="0F307AB2"/>
    <w:rsid w:val="0F4F5A5E"/>
    <w:rsid w:val="0F661726"/>
    <w:rsid w:val="0F76748F"/>
    <w:rsid w:val="0F87344A"/>
    <w:rsid w:val="0FA43FFC"/>
    <w:rsid w:val="0FA97864"/>
    <w:rsid w:val="0FAE09D7"/>
    <w:rsid w:val="0FEE5277"/>
    <w:rsid w:val="102430E3"/>
    <w:rsid w:val="1028659F"/>
    <w:rsid w:val="103510F8"/>
    <w:rsid w:val="103A226A"/>
    <w:rsid w:val="104135F9"/>
    <w:rsid w:val="10467873"/>
    <w:rsid w:val="10496E84"/>
    <w:rsid w:val="1054157E"/>
    <w:rsid w:val="10664F16"/>
    <w:rsid w:val="10861954"/>
    <w:rsid w:val="10A818CA"/>
    <w:rsid w:val="10D02488"/>
    <w:rsid w:val="10D17073"/>
    <w:rsid w:val="10F36FE9"/>
    <w:rsid w:val="10FC5772"/>
    <w:rsid w:val="11317333"/>
    <w:rsid w:val="11330B58"/>
    <w:rsid w:val="113E4A06"/>
    <w:rsid w:val="11401B02"/>
    <w:rsid w:val="11627CCB"/>
    <w:rsid w:val="11755C50"/>
    <w:rsid w:val="11A55E09"/>
    <w:rsid w:val="11BE1BD3"/>
    <w:rsid w:val="11D66368"/>
    <w:rsid w:val="11E903EC"/>
    <w:rsid w:val="11FB6372"/>
    <w:rsid w:val="120E0E57"/>
    <w:rsid w:val="126F08F1"/>
    <w:rsid w:val="12751C80"/>
    <w:rsid w:val="128679E9"/>
    <w:rsid w:val="12B502CE"/>
    <w:rsid w:val="12CD386A"/>
    <w:rsid w:val="12EB3A99"/>
    <w:rsid w:val="12F94907"/>
    <w:rsid w:val="130E34D1"/>
    <w:rsid w:val="131F1471"/>
    <w:rsid w:val="133B07D3"/>
    <w:rsid w:val="13427DB4"/>
    <w:rsid w:val="136441CE"/>
    <w:rsid w:val="13661F63"/>
    <w:rsid w:val="136E63D1"/>
    <w:rsid w:val="13723F36"/>
    <w:rsid w:val="137B5074"/>
    <w:rsid w:val="13B0717F"/>
    <w:rsid w:val="13DA082F"/>
    <w:rsid w:val="14223741"/>
    <w:rsid w:val="142B4CEC"/>
    <w:rsid w:val="14305E5E"/>
    <w:rsid w:val="14333BA0"/>
    <w:rsid w:val="1433594E"/>
    <w:rsid w:val="1441006B"/>
    <w:rsid w:val="147A32C8"/>
    <w:rsid w:val="1481490C"/>
    <w:rsid w:val="14BA7E1E"/>
    <w:rsid w:val="14C97510"/>
    <w:rsid w:val="14E153AA"/>
    <w:rsid w:val="1525714C"/>
    <w:rsid w:val="1525798D"/>
    <w:rsid w:val="152F6116"/>
    <w:rsid w:val="156D701E"/>
    <w:rsid w:val="158B1BEF"/>
    <w:rsid w:val="15AC59B8"/>
    <w:rsid w:val="16021A7C"/>
    <w:rsid w:val="1626786E"/>
    <w:rsid w:val="16322361"/>
    <w:rsid w:val="163A7468"/>
    <w:rsid w:val="166B5932"/>
    <w:rsid w:val="167C614E"/>
    <w:rsid w:val="16CA259A"/>
    <w:rsid w:val="16DC407B"/>
    <w:rsid w:val="16F24F4D"/>
    <w:rsid w:val="16F46EE5"/>
    <w:rsid w:val="174B2FAF"/>
    <w:rsid w:val="17577BA6"/>
    <w:rsid w:val="17A12061"/>
    <w:rsid w:val="17DF02C7"/>
    <w:rsid w:val="18155A97"/>
    <w:rsid w:val="1833416F"/>
    <w:rsid w:val="185C1EE0"/>
    <w:rsid w:val="185D11EC"/>
    <w:rsid w:val="187327BD"/>
    <w:rsid w:val="18CD0120"/>
    <w:rsid w:val="18D47700"/>
    <w:rsid w:val="18F9272D"/>
    <w:rsid w:val="19524AC9"/>
    <w:rsid w:val="197C38F4"/>
    <w:rsid w:val="19805192"/>
    <w:rsid w:val="19832ED4"/>
    <w:rsid w:val="19841206"/>
    <w:rsid w:val="19996254"/>
    <w:rsid w:val="19AA1F07"/>
    <w:rsid w:val="19CD414F"/>
    <w:rsid w:val="19EC2827"/>
    <w:rsid w:val="1A204BC7"/>
    <w:rsid w:val="1A236B3E"/>
    <w:rsid w:val="1A5A3C35"/>
    <w:rsid w:val="1A6E148E"/>
    <w:rsid w:val="1A905B6C"/>
    <w:rsid w:val="1AAB26E2"/>
    <w:rsid w:val="1ABF1CEA"/>
    <w:rsid w:val="1AF7686E"/>
    <w:rsid w:val="1B09565B"/>
    <w:rsid w:val="1B3E5305"/>
    <w:rsid w:val="1B7900EB"/>
    <w:rsid w:val="1B824DB2"/>
    <w:rsid w:val="1B99078D"/>
    <w:rsid w:val="1BC11A92"/>
    <w:rsid w:val="1BC4161E"/>
    <w:rsid w:val="1BD16511"/>
    <w:rsid w:val="1BD6378F"/>
    <w:rsid w:val="1BF41E67"/>
    <w:rsid w:val="1C054074"/>
    <w:rsid w:val="1C2344FA"/>
    <w:rsid w:val="1C3F7586"/>
    <w:rsid w:val="1C692767"/>
    <w:rsid w:val="1C777B20"/>
    <w:rsid w:val="1C7A236C"/>
    <w:rsid w:val="1C7F7983"/>
    <w:rsid w:val="1C844F99"/>
    <w:rsid w:val="1C9A0C60"/>
    <w:rsid w:val="1CB46B9A"/>
    <w:rsid w:val="1CC15E4F"/>
    <w:rsid w:val="1CF163A7"/>
    <w:rsid w:val="1CF3211F"/>
    <w:rsid w:val="1D100F23"/>
    <w:rsid w:val="1D644DCB"/>
    <w:rsid w:val="1DA33B45"/>
    <w:rsid w:val="1E1C7453"/>
    <w:rsid w:val="1E54048E"/>
    <w:rsid w:val="1E6101C5"/>
    <w:rsid w:val="1EDB3F9D"/>
    <w:rsid w:val="1EDB63FC"/>
    <w:rsid w:val="1EFA7794"/>
    <w:rsid w:val="1F02489B"/>
    <w:rsid w:val="1F070103"/>
    <w:rsid w:val="1F2E743E"/>
    <w:rsid w:val="1F607FF2"/>
    <w:rsid w:val="1F62650C"/>
    <w:rsid w:val="1F645556"/>
    <w:rsid w:val="1F6C5D2B"/>
    <w:rsid w:val="1F9574BD"/>
    <w:rsid w:val="1FA37E2C"/>
    <w:rsid w:val="1FC4249C"/>
    <w:rsid w:val="20001EBD"/>
    <w:rsid w:val="20242183"/>
    <w:rsid w:val="2031368A"/>
    <w:rsid w:val="204131A1"/>
    <w:rsid w:val="207D242B"/>
    <w:rsid w:val="20C938C2"/>
    <w:rsid w:val="211803A6"/>
    <w:rsid w:val="212C5BFF"/>
    <w:rsid w:val="215E0F94"/>
    <w:rsid w:val="21793292"/>
    <w:rsid w:val="21823A71"/>
    <w:rsid w:val="21A11A08"/>
    <w:rsid w:val="21AD6D40"/>
    <w:rsid w:val="21D56325"/>
    <w:rsid w:val="220D77DF"/>
    <w:rsid w:val="22122FE0"/>
    <w:rsid w:val="221C4582"/>
    <w:rsid w:val="2236563F"/>
    <w:rsid w:val="225B49EE"/>
    <w:rsid w:val="226A473E"/>
    <w:rsid w:val="229B0EB2"/>
    <w:rsid w:val="22C06D69"/>
    <w:rsid w:val="22CA56D0"/>
    <w:rsid w:val="22DD5403"/>
    <w:rsid w:val="22E6429C"/>
    <w:rsid w:val="22ED3053"/>
    <w:rsid w:val="23403BE4"/>
    <w:rsid w:val="235366F0"/>
    <w:rsid w:val="2389558B"/>
    <w:rsid w:val="23977CA8"/>
    <w:rsid w:val="23AE6D9F"/>
    <w:rsid w:val="23B50B59"/>
    <w:rsid w:val="23FA0237"/>
    <w:rsid w:val="23FE1BBB"/>
    <w:rsid w:val="24042C94"/>
    <w:rsid w:val="2410602C"/>
    <w:rsid w:val="2462033C"/>
    <w:rsid w:val="246814F5"/>
    <w:rsid w:val="247F1E97"/>
    <w:rsid w:val="24A2334C"/>
    <w:rsid w:val="24C7636B"/>
    <w:rsid w:val="24D64800"/>
    <w:rsid w:val="24D70504"/>
    <w:rsid w:val="24EC7B7F"/>
    <w:rsid w:val="25302162"/>
    <w:rsid w:val="25565941"/>
    <w:rsid w:val="25710085"/>
    <w:rsid w:val="257B7155"/>
    <w:rsid w:val="25937060"/>
    <w:rsid w:val="25B12591"/>
    <w:rsid w:val="25B97766"/>
    <w:rsid w:val="25CC1645"/>
    <w:rsid w:val="25DE0E69"/>
    <w:rsid w:val="26355556"/>
    <w:rsid w:val="263E440B"/>
    <w:rsid w:val="265956E8"/>
    <w:rsid w:val="26BC7A25"/>
    <w:rsid w:val="26C03072"/>
    <w:rsid w:val="26E054C2"/>
    <w:rsid w:val="271B474C"/>
    <w:rsid w:val="27207FB4"/>
    <w:rsid w:val="272A498F"/>
    <w:rsid w:val="275D6D46"/>
    <w:rsid w:val="277A2B2B"/>
    <w:rsid w:val="27802801"/>
    <w:rsid w:val="279B588D"/>
    <w:rsid w:val="27A961FC"/>
    <w:rsid w:val="27BE64FF"/>
    <w:rsid w:val="27E17743"/>
    <w:rsid w:val="27F05BD9"/>
    <w:rsid w:val="27FC632B"/>
    <w:rsid w:val="28416434"/>
    <w:rsid w:val="2874680A"/>
    <w:rsid w:val="288617DA"/>
    <w:rsid w:val="2886285B"/>
    <w:rsid w:val="288F53F1"/>
    <w:rsid w:val="28996270"/>
    <w:rsid w:val="28C0056C"/>
    <w:rsid w:val="28CE39FF"/>
    <w:rsid w:val="29080D00"/>
    <w:rsid w:val="295C32CE"/>
    <w:rsid w:val="299069DD"/>
    <w:rsid w:val="29B570DA"/>
    <w:rsid w:val="29E74DB9"/>
    <w:rsid w:val="29EE7EF6"/>
    <w:rsid w:val="2A612DBE"/>
    <w:rsid w:val="2A846AAC"/>
    <w:rsid w:val="2A957246"/>
    <w:rsid w:val="2A97233B"/>
    <w:rsid w:val="2AE82B97"/>
    <w:rsid w:val="2AF459E0"/>
    <w:rsid w:val="2B033E75"/>
    <w:rsid w:val="2B057BED"/>
    <w:rsid w:val="2B26385E"/>
    <w:rsid w:val="2B2C517A"/>
    <w:rsid w:val="2B3121A0"/>
    <w:rsid w:val="2B363518"/>
    <w:rsid w:val="2B560448"/>
    <w:rsid w:val="2B604E23"/>
    <w:rsid w:val="2B6D12EE"/>
    <w:rsid w:val="2BBB01A1"/>
    <w:rsid w:val="2BCD5263"/>
    <w:rsid w:val="2BCF68CE"/>
    <w:rsid w:val="2BDB26FC"/>
    <w:rsid w:val="2BE315B0"/>
    <w:rsid w:val="2BF90622"/>
    <w:rsid w:val="2C077995"/>
    <w:rsid w:val="2C217570"/>
    <w:rsid w:val="2C4C35F9"/>
    <w:rsid w:val="2C790247"/>
    <w:rsid w:val="2C8833ED"/>
    <w:rsid w:val="2CC66F08"/>
    <w:rsid w:val="2CE33F5E"/>
    <w:rsid w:val="2CF47F19"/>
    <w:rsid w:val="2D233D1A"/>
    <w:rsid w:val="2D2A56E9"/>
    <w:rsid w:val="2D2C2DAC"/>
    <w:rsid w:val="2D3748A3"/>
    <w:rsid w:val="2D4D13D7"/>
    <w:rsid w:val="2D5704A8"/>
    <w:rsid w:val="2D5F1654"/>
    <w:rsid w:val="2D6A01DB"/>
    <w:rsid w:val="2D6A5FC6"/>
    <w:rsid w:val="2D8D5C78"/>
    <w:rsid w:val="2DD8072C"/>
    <w:rsid w:val="2E666BF4"/>
    <w:rsid w:val="2E713D38"/>
    <w:rsid w:val="2E726911"/>
    <w:rsid w:val="2EA161C2"/>
    <w:rsid w:val="2EB060C2"/>
    <w:rsid w:val="2ECB4CA9"/>
    <w:rsid w:val="2EE30FFD"/>
    <w:rsid w:val="2F340AA1"/>
    <w:rsid w:val="2F507944"/>
    <w:rsid w:val="2F5D05DC"/>
    <w:rsid w:val="2F776BDF"/>
    <w:rsid w:val="2F8D01B1"/>
    <w:rsid w:val="2F94153F"/>
    <w:rsid w:val="2FAA2B11"/>
    <w:rsid w:val="2FBD6DD2"/>
    <w:rsid w:val="2FD22068"/>
    <w:rsid w:val="2FE37DD1"/>
    <w:rsid w:val="300B7D69"/>
    <w:rsid w:val="300C7268"/>
    <w:rsid w:val="300F6E18"/>
    <w:rsid w:val="30562C99"/>
    <w:rsid w:val="30703D5A"/>
    <w:rsid w:val="307F7AFA"/>
    <w:rsid w:val="3095556F"/>
    <w:rsid w:val="30A43A04"/>
    <w:rsid w:val="30AC28B9"/>
    <w:rsid w:val="30AE3E19"/>
    <w:rsid w:val="30B3361E"/>
    <w:rsid w:val="30BF25EC"/>
    <w:rsid w:val="30E46C87"/>
    <w:rsid w:val="31745184"/>
    <w:rsid w:val="31793192"/>
    <w:rsid w:val="3180132A"/>
    <w:rsid w:val="3244724D"/>
    <w:rsid w:val="324C4353"/>
    <w:rsid w:val="32BF2D77"/>
    <w:rsid w:val="32C263C3"/>
    <w:rsid w:val="32EE2D9F"/>
    <w:rsid w:val="32EE71B8"/>
    <w:rsid w:val="330811E7"/>
    <w:rsid w:val="33097898"/>
    <w:rsid w:val="33337C2B"/>
    <w:rsid w:val="3361798A"/>
    <w:rsid w:val="33753436"/>
    <w:rsid w:val="337A6C9E"/>
    <w:rsid w:val="337F306F"/>
    <w:rsid w:val="3381479C"/>
    <w:rsid w:val="338813BB"/>
    <w:rsid w:val="33A930DF"/>
    <w:rsid w:val="33B57CD6"/>
    <w:rsid w:val="33B800DA"/>
    <w:rsid w:val="33E32A95"/>
    <w:rsid w:val="33E52369"/>
    <w:rsid w:val="33F02C50"/>
    <w:rsid w:val="34056568"/>
    <w:rsid w:val="340F388A"/>
    <w:rsid w:val="341744ED"/>
    <w:rsid w:val="342015F4"/>
    <w:rsid w:val="342D5ABF"/>
    <w:rsid w:val="34394463"/>
    <w:rsid w:val="345D45F6"/>
    <w:rsid w:val="348823A7"/>
    <w:rsid w:val="34CA0B0B"/>
    <w:rsid w:val="35074561"/>
    <w:rsid w:val="350827AC"/>
    <w:rsid w:val="35442366"/>
    <w:rsid w:val="359754F0"/>
    <w:rsid w:val="35CD57AB"/>
    <w:rsid w:val="35F42D38"/>
    <w:rsid w:val="362F2D05"/>
    <w:rsid w:val="363C6650"/>
    <w:rsid w:val="364A2958"/>
    <w:rsid w:val="3652180C"/>
    <w:rsid w:val="36633A19"/>
    <w:rsid w:val="36666F38"/>
    <w:rsid w:val="36981915"/>
    <w:rsid w:val="37246A0E"/>
    <w:rsid w:val="372676C4"/>
    <w:rsid w:val="37555A58"/>
    <w:rsid w:val="37B54749"/>
    <w:rsid w:val="37DA5346"/>
    <w:rsid w:val="3813659E"/>
    <w:rsid w:val="382F44FB"/>
    <w:rsid w:val="38455ACD"/>
    <w:rsid w:val="384C6BE3"/>
    <w:rsid w:val="38602906"/>
    <w:rsid w:val="386341A5"/>
    <w:rsid w:val="38657F1D"/>
    <w:rsid w:val="3905525C"/>
    <w:rsid w:val="390C0398"/>
    <w:rsid w:val="395457BB"/>
    <w:rsid w:val="39553AED"/>
    <w:rsid w:val="396226AE"/>
    <w:rsid w:val="397B107A"/>
    <w:rsid w:val="39A8365E"/>
    <w:rsid w:val="39BA6046"/>
    <w:rsid w:val="39F06083"/>
    <w:rsid w:val="3A092B2A"/>
    <w:rsid w:val="3A140C15"/>
    <w:rsid w:val="3A173499"/>
    <w:rsid w:val="3A2B0CF2"/>
    <w:rsid w:val="3A3758E9"/>
    <w:rsid w:val="3A414072"/>
    <w:rsid w:val="3A951EFC"/>
    <w:rsid w:val="3B334302"/>
    <w:rsid w:val="3B3653C6"/>
    <w:rsid w:val="3B451940"/>
    <w:rsid w:val="3B516536"/>
    <w:rsid w:val="3B562239"/>
    <w:rsid w:val="3B712735"/>
    <w:rsid w:val="3B9C0761"/>
    <w:rsid w:val="3BAD78F8"/>
    <w:rsid w:val="3BF910A8"/>
    <w:rsid w:val="3BFC2946"/>
    <w:rsid w:val="3C065573"/>
    <w:rsid w:val="3C340332"/>
    <w:rsid w:val="3C502C92"/>
    <w:rsid w:val="3C593D3F"/>
    <w:rsid w:val="3C687FDC"/>
    <w:rsid w:val="3C7921E9"/>
    <w:rsid w:val="3C7E335B"/>
    <w:rsid w:val="3CC974A4"/>
    <w:rsid w:val="3CD36714"/>
    <w:rsid w:val="3CDE3DFA"/>
    <w:rsid w:val="3CEF4259"/>
    <w:rsid w:val="3D0427B6"/>
    <w:rsid w:val="3D0870C9"/>
    <w:rsid w:val="3D3305EA"/>
    <w:rsid w:val="3D5E4F3B"/>
    <w:rsid w:val="3DA43295"/>
    <w:rsid w:val="3DB64D77"/>
    <w:rsid w:val="3DCB0822"/>
    <w:rsid w:val="3DD422B2"/>
    <w:rsid w:val="3DDD67A7"/>
    <w:rsid w:val="3DDF42CD"/>
    <w:rsid w:val="3DE17C16"/>
    <w:rsid w:val="3DE84E76"/>
    <w:rsid w:val="3DF24001"/>
    <w:rsid w:val="3DFD4754"/>
    <w:rsid w:val="3E0C4997"/>
    <w:rsid w:val="3E185A6A"/>
    <w:rsid w:val="3E2C6003"/>
    <w:rsid w:val="3E48259C"/>
    <w:rsid w:val="3E970704"/>
    <w:rsid w:val="3E9D691D"/>
    <w:rsid w:val="3EDB4A95"/>
    <w:rsid w:val="3EEF6792"/>
    <w:rsid w:val="3F253F62"/>
    <w:rsid w:val="3F275F2C"/>
    <w:rsid w:val="3F8073EA"/>
    <w:rsid w:val="3F8C5D8F"/>
    <w:rsid w:val="3FA6112B"/>
    <w:rsid w:val="3FC5351D"/>
    <w:rsid w:val="3FD2198F"/>
    <w:rsid w:val="3FFA53EF"/>
    <w:rsid w:val="400950A9"/>
    <w:rsid w:val="40300E10"/>
    <w:rsid w:val="40451349"/>
    <w:rsid w:val="407D59F4"/>
    <w:rsid w:val="40C41559"/>
    <w:rsid w:val="40DB28F9"/>
    <w:rsid w:val="40DE6ABE"/>
    <w:rsid w:val="41004C9B"/>
    <w:rsid w:val="410B7187"/>
    <w:rsid w:val="41151DB4"/>
    <w:rsid w:val="41275061"/>
    <w:rsid w:val="41287D39"/>
    <w:rsid w:val="413C37E5"/>
    <w:rsid w:val="414F52C6"/>
    <w:rsid w:val="415D5C35"/>
    <w:rsid w:val="41766CF7"/>
    <w:rsid w:val="41822D92"/>
    <w:rsid w:val="419C675B"/>
    <w:rsid w:val="41BC0943"/>
    <w:rsid w:val="41D543C8"/>
    <w:rsid w:val="41DE342B"/>
    <w:rsid w:val="41F61BE6"/>
    <w:rsid w:val="420359F8"/>
    <w:rsid w:val="422F124C"/>
    <w:rsid w:val="42512260"/>
    <w:rsid w:val="426254CD"/>
    <w:rsid w:val="426C1EA8"/>
    <w:rsid w:val="426E79CE"/>
    <w:rsid w:val="427024D7"/>
    <w:rsid w:val="42C57F36"/>
    <w:rsid w:val="42C817D4"/>
    <w:rsid w:val="42D31F27"/>
    <w:rsid w:val="42D63FBF"/>
    <w:rsid w:val="42FC322C"/>
    <w:rsid w:val="431C1B20"/>
    <w:rsid w:val="43212C92"/>
    <w:rsid w:val="432A55BF"/>
    <w:rsid w:val="433504EC"/>
    <w:rsid w:val="4367349B"/>
    <w:rsid w:val="437D59B5"/>
    <w:rsid w:val="439B122F"/>
    <w:rsid w:val="43C97D14"/>
    <w:rsid w:val="43E97C54"/>
    <w:rsid w:val="44284B49"/>
    <w:rsid w:val="442E38B9"/>
    <w:rsid w:val="44476729"/>
    <w:rsid w:val="4476700E"/>
    <w:rsid w:val="447F0070"/>
    <w:rsid w:val="447F3453"/>
    <w:rsid w:val="44A26055"/>
    <w:rsid w:val="44C85ABB"/>
    <w:rsid w:val="44E623E5"/>
    <w:rsid w:val="44FF5255"/>
    <w:rsid w:val="45025DED"/>
    <w:rsid w:val="45060392"/>
    <w:rsid w:val="45763769"/>
    <w:rsid w:val="45905EAD"/>
    <w:rsid w:val="459B31D0"/>
    <w:rsid w:val="460348D1"/>
    <w:rsid w:val="4643069D"/>
    <w:rsid w:val="465869CB"/>
    <w:rsid w:val="465A44A1"/>
    <w:rsid w:val="465D66D7"/>
    <w:rsid w:val="46CF336F"/>
    <w:rsid w:val="473F57E5"/>
    <w:rsid w:val="473F6AB9"/>
    <w:rsid w:val="474451A1"/>
    <w:rsid w:val="47462CC7"/>
    <w:rsid w:val="47504D25"/>
    <w:rsid w:val="47751A88"/>
    <w:rsid w:val="478D4D9A"/>
    <w:rsid w:val="47AB2E58"/>
    <w:rsid w:val="47AC3472"/>
    <w:rsid w:val="47B444BE"/>
    <w:rsid w:val="47CC3000"/>
    <w:rsid w:val="47CD33E9"/>
    <w:rsid w:val="47F40975"/>
    <w:rsid w:val="480A63EB"/>
    <w:rsid w:val="48286871"/>
    <w:rsid w:val="483671E0"/>
    <w:rsid w:val="48496F13"/>
    <w:rsid w:val="4854133B"/>
    <w:rsid w:val="489F4D85"/>
    <w:rsid w:val="48AF06A2"/>
    <w:rsid w:val="48C138F4"/>
    <w:rsid w:val="48E42798"/>
    <w:rsid w:val="48E64762"/>
    <w:rsid w:val="48E94252"/>
    <w:rsid w:val="49296D45"/>
    <w:rsid w:val="497A134E"/>
    <w:rsid w:val="49AD1724"/>
    <w:rsid w:val="49D918E9"/>
    <w:rsid w:val="49DD084A"/>
    <w:rsid w:val="49FC1975"/>
    <w:rsid w:val="4A062BE2"/>
    <w:rsid w:val="4A314103"/>
    <w:rsid w:val="4A3239D7"/>
    <w:rsid w:val="4A58168F"/>
    <w:rsid w:val="4A842484"/>
    <w:rsid w:val="4AA2290B"/>
    <w:rsid w:val="4AA743C5"/>
    <w:rsid w:val="4B1B446B"/>
    <w:rsid w:val="4B494F9F"/>
    <w:rsid w:val="4B4C0AC8"/>
    <w:rsid w:val="4B4C5715"/>
    <w:rsid w:val="4B5856BF"/>
    <w:rsid w:val="4B7324F9"/>
    <w:rsid w:val="4B8169C4"/>
    <w:rsid w:val="4BA32DDE"/>
    <w:rsid w:val="4BB072A9"/>
    <w:rsid w:val="4BC82845"/>
    <w:rsid w:val="4C012E3E"/>
    <w:rsid w:val="4C24126A"/>
    <w:rsid w:val="4C3E48B5"/>
    <w:rsid w:val="4C4D68A6"/>
    <w:rsid w:val="4C517CC6"/>
    <w:rsid w:val="4C5E11F2"/>
    <w:rsid w:val="4C6D0CF6"/>
    <w:rsid w:val="4C7C718B"/>
    <w:rsid w:val="4C7F2681"/>
    <w:rsid w:val="4C837641"/>
    <w:rsid w:val="4C9444D5"/>
    <w:rsid w:val="4C9B1D07"/>
    <w:rsid w:val="4CC44C66"/>
    <w:rsid w:val="4CFF2296"/>
    <w:rsid w:val="4D0478AD"/>
    <w:rsid w:val="4D075CF5"/>
    <w:rsid w:val="4D150C1E"/>
    <w:rsid w:val="4D2E66D8"/>
    <w:rsid w:val="4D587BF8"/>
    <w:rsid w:val="4D9A3D6D"/>
    <w:rsid w:val="4D9F75D5"/>
    <w:rsid w:val="4DB90697"/>
    <w:rsid w:val="4DCC2146"/>
    <w:rsid w:val="4DEE5E67"/>
    <w:rsid w:val="4E061402"/>
    <w:rsid w:val="4E3B1D8E"/>
    <w:rsid w:val="4E3D1C26"/>
    <w:rsid w:val="4E467A51"/>
    <w:rsid w:val="4E7E543D"/>
    <w:rsid w:val="4E992277"/>
    <w:rsid w:val="4EA330F5"/>
    <w:rsid w:val="4EC33E16"/>
    <w:rsid w:val="4ED67027"/>
    <w:rsid w:val="4EEF1E97"/>
    <w:rsid w:val="4F1D2EA8"/>
    <w:rsid w:val="4F2D78C0"/>
    <w:rsid w:val="4F4E5B46"/>
    <w:rsid w:val="4F560168"/>
    <w:rsid w:val="4F600E84"/>
    <w:rsid w:val="50067498"/>
    <w:rsid w:val="502C325A"/>
    <w:rsid w:val="502D2C76"/>
    <w:rsid w:val="50854860"/>
    <w:rsid w:val="50862B46"/>
    <w:rsid w:val="50C44837"/>
    <w:rsid w:val="50CA4969"/>
    <w:rsid w:val="51200A2D"/>
    <w:rsid w:val="512E4EF8"/>
    <w:rsid w:val="51565ABB"/>
    <w:rsid w:val="517C40AB"/>
    <w:rsid w:val="517F7502"/>
    <w:rsid w:val="519F10D4"/>
    <w:rsid w:val="51A96C75"/>
    <w:rsid w:val="51BF674B"/>
    <w:rsid w:val="51D07D5D"/>
    <w:rsid w:val="51E657D3"/>
    <w:rsid w:val="51FD2B1C"/>
    <w:rsid w:val="52075749"/>
    <w:rsid w:val="52091C6A"/>
    <w:rsid w:val="52291B63"/>
    <w:rsid w:val="52464354"/>
    <w:rsid w:val="52466271"/>
    <w:rsid w:val="524E3378"/>
    <w:rsid w:val="52526A54"/>
    <w:rsid w:val="52592449"/>
    <w:rsid w:val="525941F7"/>
    <w:rsid w:val="527821A3"/>
    <w:rsid w:val="52B23907"/>
    <w:rsid w:val="52E361B6"/>
    <w:rsid w:val="52FD462A"/>
    <w:rsid w:val="53185E60"/>
    <w:rsid w:val="535D1AC5"/>
    <w:rsid w:val="535E0122"/>
    <w:rsid w:val="53AF7E46"/>
    <w:rsid w:val="54176117"/>
    <w:rsid w:val="54407510"/>
    <w:rsid w:val="547C0049"/>
    <w:rsid w:val="54B27BEE"/>
    <w:rsid w:val="54DE4E87"/>
    <w:rsid w:val="551B1C37"/>
    <w:rsid w:val="554029CC"/>
    <w:rsid w:val="556233C2"/>
    <w:rsid w:val="55994453"/>
    <w:rsid w:val="559C27DA"/>
    <w:rsid w:val="55A90FF1"/>
    <w:rsid w:val="55AA6B17"/>
    <w:rsid w:val="55E0078B"/>
    <w:rsid w:val="56010E2D"/>
    <w:rsid w:val="562B7C58"/>
    <w:rsid w:val="56482D77"/>
    <w:rsid w:val="56AD4B11"/>
    <w:rsid w:val="56B00850"/>
    <w:rsid w:val="56EA18C1"/>
    <w:rsid w:val="56FB3ACE"/>
    <w:rsid w:val="571701DC"/>
    <w:rsid w:val="5722611E"/>
    <w:rsid w:val="572F19CA"/>
    <w:rsid w:val="57340D8E"/>
    <w:rsid w:val="573C5E95"/>
    <w:rsid w:val="578C12DD"/>
    <w:rsid w:val="57945CD1"/>
    <w:rsid w:val="57F86260"/>
    <w:rsid w:val="58061936"/>
    <w:rsid w:val="580F5357"/>
    <w:rsid w:val="582B369B"/>
    <w:rsid w:val="583611E5"/>
    <w:rsid w:val="583D1BDB"/>
    <w:rsid w:val="58523BC2"/>
    <w:rsid w:val="585C7305"/>
    <w:rsid w:val="58977EC5"/>
    <w:rsid w:val="58C12AF6"/>
    <w:rsid w:val="58D565A1"/>
    <w:rsid w:val="58E16CF4"/>
    <w:rsid w:val="58E2430D"/>
    <w:rsid w:val="58F76517"/>
    <w:rsid w:val="59084281"/>
    <w:rsid w:val="592F3F03"/>
    <w:rsid w:val="59376914"/>
    <w:rsid w:val="59601568"/>
    <w:rsid w:val="597162CA"/>
    <w:rsid w:val="597B2CA5"/>
    <w:rsid w:val="599D70BF"/>
    <w:rsid w:val="59A0095D"/>
    <w:rsid w:val="59AF7BF1"/>
    <w:rsid w:val="59E85E60"/>
    <w:rsid w:val="59E92115"/>
    <w:rsid w:val="59F07C9C"/>
    <w:rsid w:val="5A1A070F"/>
    <w:rsid w:val="5A272FAA"/>
    <w:rsid w:val="5A427C66"/>
    <w:rsid w:val="5A9C24AC"/>
    <w:rsid w:val="5AF3441D"/>
    <w:rsid w:val="5AFC10E0"/>
    <w:rsid w:val="5B6F4864"/>
    <w:rsid w:val="5B6F6839"/>
    <w:rsid w:val="5B7756EE"/>
    <w:rsid w:val="5B7E082A"/>
    <w:rsid w:val="5B8450FD"/>
    <w:rsid w:val="5B863B83"/>
    <w:rsid w:val="5BD60666"/>
    <w:rsid w:val="5C2313D1"/>
    <w:rsid w:val="5C537F09"/>
    <w:rsid w:val="5C5B500F"/>
    <w:rsid w:val="5C974299"/>
    <w:rsid w:val="5CAC7072"/>
    <w:rsid w:val="5CBE303E"/>
    <w:rsid w:val="5CDD5A24"/>
    <w:rsid w:val="5D156BFD"/>
    <w:rsid w:val="5D42258F"/>
    <w:rsid w:val="5D5E6B65"/>
    <w:rsid w:val="5D8B5480"/>
    <w:rsid w:val="5DB46785"/>
    <w:rsid w:val="5DC3164B"/>
    <w:rsid w:val="5DD15C52"/>
    <w:rsid w:val="5DE77AED"/>
    <w:rsid w:val="5DF64FF0"/>
    <w:rsid w:val="5E231BA8"/>
    <w:rsid w:val="5E2E29DB"/>
    <w:rsid w:val="5E4D56D9"/>
    <w:rsid w:val="5E5835B4"/>
    <w:rsid w:val="5E8F1717"/>
    <w:rsid w:val="5E9E1EC4"/>
    <w:rsid w:val="5EC56770"/>
    <w:rsid w:val="5EDA6CAA"/>
    <w:rsid w:val="5EE50BC0"/>
    <w:rsid w:val="5EF13A09"/>
    <w:rsid w:val="5F24793A"/>
    <w:rsid w:val="5F4B3119"/>
    <w:rsid w:val="5F5B2DFC"/>
    <w:rsid w:val="5F5C426D"/>
    <w:rsid w:val="5F7A755A"/>
    <w:rsid w:val="5FA85164"/>
    <w:rsid w:val="5FBA3DFB"/>
    <w:rsid w:val="5FDE5317"/>
    <w:rsid w:val="5FEA2932"/>
    <w:rsid w:val="5FEC48FC"/>
    <w:rsid w:val="60181F51"/>
    <w:rsid w:val="604D6E45"/>
    <w:rsid w:val="60634492"/>
    <w:rsid w:val="60E27AAD"/>
    <w:rsid w:val="610D69D6"/>
    <w:rsid w:val="61113EEE"/>
    <w:rsid w:val="613227E3"/>
    <w:rsid w:val="6155202D"/>
    <w:rsid w:val="61632D51"/>
    <w:rsid w:val="61B551C2"/>
    <w:rsid w:val="61D238A5"/>
    <w:rsid w:val="61DF5D9B"/>
    <w:rsid w:val="61E11B13"/>
    <w:rsid w:val="61F50987"/>
    <w:rsid w:val="62685FC7"/>
    <w:rsid w:val="62A3501A"/>
    <w:rsid w:val="62A414BE"/>
    <w:rsid w:val="62A768B8"/>
    <w:rsid w:val="6311467A"/>
    <w:rsid w:val="63195B61"/>
    <w:rsid w:val="635308CF"/>
    <w:rsid w:val="63660521"/>
    <w:rsid w:val="636C18B0"/>
    <w:rsid w:val="63901A42"/>
    <w:rsid w:val="639257BA"/>
    <w:rsid w:val="63926B24"/>
    <w:rsid w:val="639826A5"/>
    <w:rsid w:val="63A159FD"/>
    <w:rsid w:val="63E43B3C"/>
    <w:rsid w:val="63E63410"/>
    <w:rsid w:val="63E678B4"/>
    <w:rsid w:val="640D4E41"/>
    <w:rsid w:val="64466012"/>
    <w:rsid w:val="645667E8"/>
    <w:rsid w:val="64836EB1"/>
    <w:rsid w:val="64993547"/>
    <w:rsid w:val="64FC4DEF"/>
    <w:rsid w:val="64FC5215"/>
    <w:rsid w:val="653D1282"/>
    <w:rsid w:val="65431DDD"/>
    <w:rsid w:val="65B35574"/>
    <w:rsid w:val="65B37C6A"/>
    <w:rsid w:val="65C854C3"/>
    <w:rsid w:val="65D26342"/>
    <w:rsid w:val="65E10333"/>
    <w:rsid w:val="65E63B9C"/>
    <w:rsid w:val="66154481"/>
    <w:rsid w:val="66155A4A"/>
    <w:rsid w:val="667E2026"/>
    <w:rsid w:val="66855163"/>
    <w:rsid w:val="66CB4B3F"/>
    <w:rsid w:val="66CE4841"/>
    <w:rsid w:val="66FE6CC3"/>
    <w:rsid w:val="674C3ED2"/>
    <w:rsid w:val="674D09EE"/>
    <w:rsid w:val="677376B1"/>
    <w:rsid w:val="6793529E"/>
    <w:rsid w:val="679C6C08"/>
    <w:rsid w:val="67DA7730"/>
    <w:rsid w:val="67E45EB9"/>
    <w:rsid w:val="681431EF"/>
    <w:rsid w:val="681744E0"/>
    <w:rsid w:val="68294213"/>
    <w:rsid w:val="68C305E8"/>
    <w:rsid w:val="68D128E1"/>
    <w:rsid w:val="68D26659"/>
    <w:rsid w:val="690A7BA1"/>
    <w:rsid w:val="69224EEB"/>
    <w:rsid w:val="69586B5E"/>
    <w:rsid w:val="695B03FD"/>
    <w:rsid w:val="69601EB7"/>
    <w:rsid w:val="69932601"/>
    <w:rsid w:val="69A47FF6"/>
    <w:rsid w:val="69B0699A"/>
    <w:rsid w:val="69BD10B7"/>
    <w:rsid w:val="69E44896"/>
    <w:rsid w:val="69F50851"/>
    <w:rsid w:val="6A06480C"/>
    <w:rsid w:val="6A1B7B8C"/>
    <w:rsid w:val="6A4E1D0F"/>
    <w:rsid w:val="6A6908F7"/>
    <w:rsid w:val="6A883C78"/>
    <w:rsid w:val="6A99742E"/>
    <w:rsid w:val="6AB04609"/>
    <w:rsid w:val="6AB8716F"/>
    <w:rsid w:val="6AD37305"/>
    <w:rsid w:val="6AD83E47"/>
    <w:rsid w:val="6AF91C7B"/>
    <w:rsid w:val="6B065E09"/>
    <w:rsid w:val="6B166CD1"/>
    <w:rsid w:val="6B1B42E7"/>
    <w:rsid w:val="6B2313EE"/>
    <w:rsid w:val="6B235DBA"/>
    <w:rsid w:val="6B2968F7"/>
    <w:rsid w:val="6B2A6220"/>
    <w:rsid w:val="6B2F7D93"/>
    <w:rsid w:val="6B6B1B9D"/>
    <w:rsid w:val="6B7632CC"/>
    <w:rsid w:val="6BA306E0"/>
    <w:rsid w:val="6BA442DD"/>
    <w:rsid w:val="6BF0540E"/>
    <w:rsid w:val="6BFE3913"/>
    <w:rsid w:val="6C066D46"/>
    <w:rsid w:val="6C117498"/>
    <w:rsid w:val="6C67530A"/>
    <w:rsid w:val="6C6D4731"/>
    <w:rsid w:val="6C8E6D3B"/>
    <w:rsid w:val="6CB06CB1"/>
    <w:rsid w:val="6CB23483"/>
    <w:rsid w:val="6CC00CAD"/>
    <w:rsid w:val="6CC85DA9"/>
    <w:rsid w:val="6CE355DC"/>
    <w:rsid w:val="6CEA21C3"/>
    <w:rsid w:val="6CF41E2A"/>
    <w:rsid w:val="6D2F407A"/>
    <w:rsid w:val="6D437B25"/>
    <w:rsid w:val="6D6655C2"/>
    <w:rsid w:val="6D761CA9"/>
    <w:rsid w:val="6D88378A"/>
    <w:rsid w:val="6DEC3D19"/>
    <w:rsid w:val="6DF350A8"/>
    <w:rsid w:val="6E1312A6"/>
    <w:rsid w:val="6E426159"/>
    <w:rsid w:val="6E4C2A0A"/>
    <w:rsid w:val="6E4D4B22"/>
    <w:rsid w:val="6E673FE8"/>
    <w:rsid w:val="6E7C32EF"/>
    <w:rsid w:val="6E8B1784"/>
    <w:rsid w:val="6E9B7F56"/>
    <w:rsid w:val="6EB17B14"/>
    <w:rsid w:val="6ED749C9"/>
    <w:rsid w:val="6ED8604B"/>
    <w:rsid w:val="6EDE13BB"/>
    <w:rsid w:val="6EE60768"/>
    <w:rsid w:val="6F2162AD"/>
    <w:rsid w:val="6F7044D6"/>
    <w:rsid w:val="6F79782E"/>
    <w:rsid w:val="6F96218E"/>
    <w:rsid w:val="6FB645DF"/>
    <w:rsid w:val="6FB67229"/>
    <w:rsid w:val="6FC43816"/>
    <w:rsid w:val="6FF173C5"/>
    <w:rsid w:val="708A08B0"/>
    <w:rsid w:val="70AB3A18"/>
    <w:rsid w:val="70B30B1E"/>
    <w:rsid w:val="70BD7BEF"/>
    <w:rsid w:val="70C8281B"/>
    <w:rsid w:val="71031AA6"/>
    <w:rsid w:val="711D567C"/>
    <w:rsid w:val="71267542"/>
    <w:rsid w:val="71494FDF"/>
    <w:rsid w:val="71502811"/>
    <w:rsid w:val="719E0AED"/>
    <w:rsid w:val="72477CBE"/>
    <w:rsid w:val="724F0D1A"/>
    <w:rsid w:val="727367B7"/>
    <w:rsid w:val="7289422C"/>
    <w:rsid w:val="72952BD1"/>
    <w:rsid w:val="72B9250E"/>
    <w:rsid w:val="72CE1C3F"/>
    <w:rsid w:val="72DF209E"/>
    <w:rsid w:val="73131533"/>
    <w:rsid w:val="731C751B"/>
    <w:rsid w:val="73247AB1"/>
    <w:rsid w:val="732B0E40"/>
    <w:rsid w:val="735711E5"/>
    <w:rsid w:val="736305DA"/>
    <w:rsid w:val="7366631C"/>
    <w:rsid w:val="73984B18"/>
    <w:rsid w:val="73AB3D2F"/>
    <w:rsid w:val="73AE6775"/>
    <w:rsid w:val="73CF3EC1"/>
    <w:rsid w:val="73D70FC8"/>
    <w:rsid w:val="73E159A2"/>
    <w:rsid w:val="73E915CF"/>
    <w:rsid w:val="73E96A17"/>
    <w:rsid w:val="74327C3D"/>
    <w:rsid w:val="74426A4F"/>
    <w:rsid w:val="74654825"/>
    <w:rsid w:val="74784559"/>
    <w:rsid w:val="74C7021D"/>
    <w:rsid w:val="74CA760E"/>
    <w:rsid w:val="74D84FF7"/>
    <w:rsid w:val="74F02341"/>
    <w:rsid w:val="754B3A1B"/>
    <w:rsid w:val="755F3023"/>
    <w:rsid w:val="757A4300"/>
    <w:rsid w:val="757D16FB"/>
    <w:rsid w:val="758C6253"/>
    <w:rsid w:val="758F4FB3"/>
    <w:rsid w:val="75B310A7"/>
    <w:rsid w:val="75C612F4"/>
    <w:rsid w:val="760A7432"/>
    <w:rsid w:val="761738FD"/>
    <w:rsid w:val="762D1373"/>
    <w:rsid w:val="765F1D6B"/>
    <w:rsid w:val="76F8372F"/>
    <w:rsid w:val="770025E3"/>
    <w:rsid w:val="77664B3C"/>
    <w:rsid w:val="77DF5A5A"/>
    <w:rsid w:val="77FD1E82"/>
    <w:rsid w:val="78054679"/>
    <w:rsid w:val="784B788E"/>
    <w:rsid w:val="78763F36"/>
    <w:rsid w:val="788A6608"/>
    <w:rsid w:val="78941235"/>
    <w:rsid w:val="789456D9"/>
    <w:rsid w:val="78992CEF"/>
    <w:rsid w:val="78D2269E"/>
    <w:rsid w:val="78D6426A"/>
    <w:rsid w:val="78DA7590"/>
    <w:rsid w:val="78E46DA2"/>
    <w:rsid w:val="79036546"/>
    <w:rsid w:val="790A315A"/>
    <w:rsid w:val="79181E66"/>
    <w:rsid w:val="791F31F5"/>
    <w:rsid w:val="792965A1"/>
    <w:rsid w:val="793A6280"/>
    <w:rsid w:val="79660E24"/>
    <w:rsid w:val="797A7E44"/>
    <w:rsid w:val="798B1876"/>
    <w:rsid w:val="7995584F"/>
    <w:rsid w:val="79D815F5"/>
    <w:rsid w:val="7A4D2690"/>
    <w:rsid w:val="7A6A04A0"/>
    <w:rsid w:val="7A7255A6"/>
    <w:rsid w:val="7A7C5AF6"/>
    <w:rsid w:val="7A807CC3"/>
    <w:rsid w:val="7A862E00"/>
    <w:rsid w:val="7A910122"/>
    <w:rsid w:val="7A9279F6"/>
    <w:rsid w:val="7AA5597C"/>
    <w:rsid w:val="7ABE4C8F"/>
    <w:rsid w:val="7AD91DC8"/>
    <w:rsid w:val="7ADD42D7"/>
    <w:rsid w:val="7B0D4390"/>
    <w:rsid w:val="7B164183"/>
    <w:rsid w:val="7B5C3FF0"/>
    <w:rsid w:val="7B876E2F"/>
    <w:rsid w:val="7B9A6B62"/>
    <w:rsid w:val="7B9F23CB"/>
    <w:rsid w:val="7BB12C13"/>
    <w:rsid w:val="7BC6204D"/>
    <w:rsid w:val="7C200086"/>
    <w:rsid w:val="7C245FB3"/>
    <w:rsid w:val="7C296138"/>
    <w:rsid w:val="7C480CB4"/>
    <w:rsid w:val="7C52568F"/>
    <w:rsid w:val="7C55517F"/>
    <w:rsid w:val="7C5E05BA"/>
    <w:rsid w:val="7C8917B4"/>
    <w:rsid w:val="7C896BD7"/>
    <w:rsid w:val="7CCE17BB"/>
    <w:rsid w:val="7CD82038"/>
    <w:rsid w:val="7CDD2906"/>
    <w:rsid w:val="7CE0713F"/>
    <w:rsid w:val="7CE502B1"/>
    <w:rsid w:val="7D1E31E3"/>
    <w:rsid w:val="7D3F20B7"/>
    <w:rsid w:val="7D44147C"/>
    <w:rsid w:val="7D6C0DF8"/>
    <w:rsid w:val="7D766A00"/>
    <w:rsid w:val="7D826446"/>
    <w:rsid w:val="7DAA5057"/>
    <w:rsid w:val="7E082F2F"/>
    <w:rsid w:val="7E0A3D11"/>
    <w:rsid w:val="7E617E0B"/>
    <w:rsid w:val="7EA877E8"/>
    <w:rsid w:val="7EC21DCE"/>
    <w:rsid w:val="7EEE11D7"/>
    <w:rsid w:val="7EF50554"/>
    <w:rsid w:val="7EF742CC"/>
    <w:rsid w:val="7F1F7C60"/>
    <w:rsid w:val="7F4A6B1F"/>
    <w:rsid w:val="7F525799"/>
    <w:rsid w:val="7F9069BB"/>
    <w:rsid w:val="7F9E24E9"/>
    <w:rsid w:val="7FA91A6A"/>
    <w:rsid w:val="7FB4040F"/>
    <w:rsid w:val="7FE9455C"/>
    <w:rsid w:val="7FFA2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0"/>
    <w:autoRedefine/>
    <w:qFormat/>
    <w:uiPriority w:val="0"/>
    <w:pPr>
      <w:keepNext/>
      <w:keepLines/>
      <w:spacing w:before="340" w:beforeLines="0" w:after="330" w:afterLines="0" w:line="578" w:lineRule="auto"/>
      <w:outlineLvl w:val="0"/>
    </w:pPr>
    <w:rPr>
      <w:b/>
      <w:bCs/>
      <w:kern w:val="44"/>
      <w:sz w:val="44"/>
      <w:szCs w:val="44"/>
    </w:rPr>
  </w:style>
  <w:style w:type="paragraph" w:styleId="3">
    <w:name w:val="heading 2"/>
    <w:basedOn w:val="4"/>
    <w:next w:val="5"/>
    <w:link w:val="33"/>
    <w:autoRedefine/>
    <w:qFormat/>
    <w:uiPriority w:val="0"/>
    <w:pPr>
      <w:keepNext/>
      <w:keepLines/>
      <w:spacing w:before="260" w:beforeLines="0" w:after="260" w:afterLines="0" w:line="416" w:lineRule="auto"/>
      <w:outlineLvl w:val="1"/>
    </w:pPr>
    <w:rPr>
      <w:rFonts w:ascii="Arial" w:hAnsi="Arial" w:eastAsia="黑体"/>
      <w:b w:val="0"/>
      <w:bCs w:val="0"/>
      <w:sz w:val="32"/>
      <w:szCs w:val="32"/>
    </w:rPr>
  </w:style>
  <w:style w:type="paragraph" w:styleId="4">
    <w:name w:val="heading 3"/>
    <w:basedOn w:val="1"/>
    <w:next w:val="1"/>
    <w:link w:val="44"/>
    <w:autoRedefine/>
    <w:qFormat/>
    <w:uiPriority w:val="0"/>
    <w:pPr>
      <w:keepNext/>
      <w:keepLines/>
      <w:spacing w:before="260" w:beforeLines="0" w:after="260" w:afterLines="0" w:line="416" w:lineRule="auto"/>
      <w:outlineLvl w:val="2"/>
    </w:pPr>
    <w:rPr>
      <w:rFonts w:ascii="宋体" w:hAnsi="宋体"/>
      <w:b/>
      <w:bCs/>
      <w:sz w:val="28"/>
      <w:szCs w:val="32"/>
    </w:rPr>
  </w:style>
  <w:style w:type="paragraph" w:styleId="6">
    <w:name w:val="heading 4"/>
    <w:basedOn w:val="1"/>
    <w:next w:val="1"/>
    <w:autoRedefine/>
    <w:unhideWhenUsed/>
    <w:qFormat/>
    <w:uiPriority w:val="9"/>
    <w:pPr>
      <w:keepNext/>
      <w:keepLines/>
      <w:numPr>
        <w:ilvl w:val="3"/>
        <w:numId w:val="1"/>
      </w:numPr>
      <w:spacing w:beforeLines="0" w:beforeAutospacing="0" w:afterLines="0" w:afterAutospacing="0" w:line="240" w:lineRule="auto"/>
      <w:ind w:left="864" w:hanging="864" w:firstLineChars="0"/>
      <w:jc w:val="center"/>
      <w:outlineLvl w:val="3"/>
    </w:pPr>
    <w:rPr>
      <w:rFonts w:ascii="Times New Roman" w:hAnsi="Times New Roman"/>
      <w:b/>
      <w:bCs/>
      <w:sz w:val="21"/>
      <w:szCs w:val="21"/>
      <w:u w:val="none"/>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qFormat/>
    <w:uiPriority w:val="0"/>
    <w:pPr>
      <w:spacing w:line="400" w:lineRule="exact"/>
      <w:ind w:firstLine="420"/>
    </w:pPr>
    <w:rPr>
      <w:rFonts w:ascii="宋体" w:hAnsi="宋体"/>
      <w:sz w:val="24"/>
      <w:szCs w:val="20"/>
    </w:rPr>
  </w:style>
  <w:style w:type="paragraph" w:styleId="7">
    <w:name w:val="annotation text"/>
    <w:basedOn w:val="1"/>
    <w:autoRedefine/>
    <w:qFormat/>
    <w:uiPriority w:val="0"/>
    <w:pPr>
      <w:spacing w:line="360" w:lineRule="auto"/>
      <w:ind w:firstLine="200" w:firstLineChars="200"/>
      <w:jc w:val="left"/>
    </w:pPr>
    <w:rPr>
      <w:sz w:val="28"/>
      <w:szCs w:val="24"/>
    </w:rPr>
  </w:style>
  <w:style w:type="paragraph" w:styleId="8">
    <w:name w:val="Body Text"/>
    <w:basedOn w:val="1"/>
    <w:autoRedefine/>
    <w:qFormat/>
    <w:uiPriority w:val="0"/>
    <w:rPr>
      <w:rFonts w:ascii="宋体" w:hAnsi="宋体"/>
      <w:sz w:val="28"/>
    </w:rPr>
  </w:style>
  <w:style w:type="paragraph" w:styleId="9">
    <w:name w:val="Body Text Indent"/>
    <w:basedOn w:val="1"/>
    <w:autoRedefine/>
    <w:qFormat/>
    <w:uiPriority w:val="0"/>
    <w:pPr>
      <w:adjustRightInd w:val="0"/>
      <w:spacing w:line="360" w:lineRule="auto"/>
      <w:ind w:firstLine="540"/>
      <w:textAlignment w:val="baseline"/>
    </w:pPr>
    <w:rPr>
      <w:spacing w:val="5"/>
      <w:kern w:val="0"/>
      <w:sz w:val="24"/>
      <w:szCs w:val="20"/>
    </w:rPr>
  </w:style>
  <w:style w:type="paragraph" w:styleId="10">
    <w:name w:val="Body Text Indent 2"/>
    <w:basedOn w:val="1"/>
    <w:qFormat/>
    <w:uiPriority w:val="0"/>
    <w:pPr>
      <w:spacing w:after="120" w:line="480" w:lineRule="auto"/>
      <w:ind w:left="420" w:leftChars="200"/>
    </w:pPr>
  </w:style>
  <w:style w:type="paragraph" w:styleId="11">
    <w:name w:val="footer"/>
    <w:basedOn w:val="1"/>
    <w:autoRedefine/>
    <w:qFormat/>
    <w:uiPriority w:val="0"/>
    <w:pPr>
      <w:tabs>
        <w:tab w:val="center" w:pos="4153"/>
        <w:tab w:val="right" w:pos="8306"/>
      </w:tabs>
      <w:snapToGrid w:val="0"/>
      <w:jc w:val="left"/>
    </w:pPr>
    <w:rPr>
      <w:sz w:val="18"/>
      <w:szCs w:val="18"/>
    </w:rPr>
  </w:style>
  <w:style w:type="paragraph" w:styleId="1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39"/>
    <w:pPr>
      <w:spacing w:before="120" w:beforeLines="0" w:after="120" w:afterLines="0"/>
      <w:jc w:val="left"/>
    </w:pPr>
    <w:rPr>
      <w:b/>
      <w:bCs/>
      <w:caps/>
      <w:sz w:val="20"/>
      <w:szCs w:val="20"/>
    </w:rPr>
  </w:style>
  <w:style w:type="paragraph" w:styleId="14">
    <w:name w:val="List"/>
    <w:basedOn w:val="1"/>
    <w:autoRedefine/>
    <w:qFormat/>
    <w:uiPriority w:val="0"/>
    <w:pPr>
      <w:ind w:left="200" w:hanging="200" w:hangingChars="200"/>
    </w:pPr>
  </w:style>
  <w:style w:type="paragraph" w:styleId="15">
    <w:name w:val="toc 2"/>
    <w:basedOn w:val="1"/>
    <w:next w:val="1"/>
    <w:autoRedefine/>
    <w:qFormat/>
    <w:uiPriority w:val="39"/>
    <w:pPr>
      <w:spacing w:line="360" w:lineRule="auto"/>
      <w:ind w:left="210"/>
      <w:jc w:val="left"/>
    </w:pPr>
    <w:rPr>
      <w:b/>
      <w:smallCaps/>
      <w:sz w:val="24"/>
      <w:szCs w:val="20"/>
    </w:rPr>
  </w:style>
  <w:style w:type="paragraph" w:styleId="16">
    <w:name w:val="Normal (Web)"/>
    <w:basedOn w:val="1"/>
    <w:autoRedefine/>
    <w:qFormat/>
    <w:uiPriority w:val="0"/>
    <w:pPr>
      <w:widowControl/>
      <w:spacing w:before="100" w:beforeLines="0" w:beforeAutospacing="1" w:after="100" w:afterLines="0" w:afterAutospacing="1"/>
      <w:jc w:val="left"/>
    </w:pPr>
    <w:rPr>
      <w:rFonts w:ascii="宋体" w:hAnsi="宋体" w:cs="宋体"/>
      <w:color w:val="000000"/>
      <w:kern w:val="0"/>
      <w:sz w:val="24"/>
      <w:szCs w:val="24"/>
    </w:rPr>
  </w:style>
  <w:style w:type="paragraph" w:styleId="17">
    <w:name w:val="annotation subject"/>
    <w:basedOn w:val="7"/>
    <w:next w:val="18"/>
    <w:autoRedefine/>
    <w:semiHidden/>
    <w:qFormat/>
    <w:uiPriority w:val="0"/>
    <w:pPr>
      <w:spacing w:line="240" w:lineRule="auto"/>
      <w:ind w:firstLine="0" w:firstLineChars="0"/>
    </w:pPr>
    <w:rPr>
      <w:b/>
      <w:bCs/>
      <w:sz w:val="21"/>
      <w:szCs w:val="21"/>
    </w:rPr>
  </w:style>
  <w:style w:type="paragraph" w:customStyle="1" w:styleId="18">
    <w:name w:val="目录 21"/>
    <w:next w:val="1"/>
    <w:autoRedefine/>
    <w:qFormat/>
    <w:uiPriority w:val="0"/>
    <w:pPr>
      <w:wordWrap w:val="0"/>
      <w:jc w:val="both"/>
    </w:pPr>
    <w:rPr>
      <w:rFonts w:ascii="Times New Roman" w:hAnsi="Times New Roman" w:eastAsia="宋体" w:cs="Times New Roman"/>
      <w:sz w:val="21"/>
      <w:lang w:val="en-US" w:eastAsia="zh-CN" w:bidi="ar-SA"/>
    </w:rPr>
  </w:style>
  <w:style w:type="paragraph" w:styleId="19">
    <w:name w:val="Body Text First Indent"/>
    <w:basedOn w:val="8"/>
    <w:next w:val="17"/>
    <w:autoRedefine/>
    <w:qFormat/>
    <w:uiPriority w:val="0"/>
    <w:pPr>
      <w:spacing w:after="120" w:afterLines="0"/>
      <w:ind w:firstLine="420" w:firstLineChars="100"/>
    </w:pPr>
    <w:rPr>
      <w:rFonts w:hint="default" w:ascii="Times New Roman" w:hAnsi="Times New Roman"/>
      <w:sz w:val="21"/>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0"/>
    <w:rPr>
      <w:b/>
      <w:bCs/>
      <w:sz w:val="24"/>
    </w:rPr>
  </w:style>
  <w:style w:type="character" w:styleId="24">
    <w:name w:val="page number"/>
    <w:autoRedefine/>
    <w:qFormat/>
    <w:uiPriority w:val="0"/>
    <w:rPr>
      <w:rFonts w:ascii="宋体" w:hAnsi="宋体" w:eastAsia="宋体"/>
      <w:sz w:val="24"/>
    </w:rPr>
  </w:style>
  <w:style w:type="character" w:styleId="25">
    <w:name w:val="Emphasis"/>
    <w:basedOn w:val="22"/>
    <w:autoRedefine/>
    <w:qFormat/>
    <w:uiPriority w:val="0"/>
    <w:rPr>
      <w:i/>
    </w:rPr>
  </w:style>
  <w:style w:type="paragraph" w:customStyle="1" w:styleId="26">
    <w:name w:val="Default"/>
    <w:basedOn w:val="27"/>
    <w:autoRedefine/>
    <w:qFormat/>
    <w:uiPriority w:val="0"/>
    <w:pPr>
      <w:widowControl w:val="0"/>
      <w:autoSpaceDE w:val="0"/>
      <w:autoSpaceDN w:val="0"/>
    </w:pPr>
    <w:rPr>
      <w:rFonts w:hint="eastAsia" w:ascii="黑体" w:eastAsia="黑体"/>
      <w:color w:val="000000"/>
      <w:sz w:val="24"/>
      <w:lang w:val="en-US" w:eastAsia="zh-CN" w:bidi="ar-SA"/>
    </w:rPr>
  </w:style>
  <w:style w:type="paragraph" w:customStyle="1" w:styleId="27">
    <w:name w:val="正文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默认段落"/>
    <w:basedOn w:val="1"/>
    <w:autoRedefine/>
    <w:qFormat/>
    <w:uiPriority w:val="99"/>
    <w:pPr>
      <w:topLinePunct w:val="0"/>
    </w:pPr>
  </w:style>
  <w:style w:type="paragraph" w:customStyle="1" w:styleId="29">
    <w:name w:val="样式 正文11 + 首行缩进:  2 字符"/>
    <w:basedOn w:val="1"/>
    <w:autoRedefine/>
    <w:qFormat/>
    <w:uiPriority w:val="0"/>
    <w:pPr>
      <w:spacing w:line="500" w:lineRule="exact"/>
      <w:ind w:firstLine="560" w:firstLineChars="200"/>
    </w:pPr>
    <w:rPr>
      <w:rFonts w:ascii="宋体" w:hAnsi="宋体" w:cs="宋体"/>
      <w:color w:val="FF0000"/>
      <w:sz w:val="28"/>
      <w:szCs w:val="20"/>
    </w:rPr>
  </w:style>
  <w:style w:type="character" w:customStyle="1" w:styleId="30">
    <w:name w:val="标题 1 字符"/>
    <w:link w:val="2"/>
    <w:autoRedefine/>
    <w:qFormat/>
    <w:uiPriority w:val="9"/>
    <w:rPr>
      <w:b/>
      <w:bCs/>
      <w:kern w:val="44"/>
      <w:sz w:val="44"/>
      <w:szCs w:val="44"/>
    </w:rPr>
  </w:style>
  <w:style w:type="paragraph" w:customStyle="1" w:styleId="31">
    <w:name w:val="1.5表格文字5"/>
    <w:autoRedefine/>
    <w:qFormat/>
    <w:uiPriority w:val="0"/>
    <w:pPr>
      <w:widowControl w:val="0"/>
      <w:adjustRightInd w:val="0"/>
      <w:snapToGrid w:val="0"/>
      <w:spacing w:line="320" w:lineRule="exact"/>
      <w:jc w:val="center"/>
    </w:pPr>
    <w:rPr>
      <w:rFonts w:ascii="宋体" w:hAnsi="宋体" w:eastAsia="宋体" w:cs="Times New Roman"/>
      <w:kern w:val="2"/>
      <w:sz w:val="21"/>
      <w:szCs w:val="21"/>
      <w:lang w:val="en-US" w:eastAsia="zh-CN" w:bidi="ar-SA"/>
    </w:rPr>
  </w:style>
  <w:style w:type="paragraph" w:customStyle="1" w:styleId="32">
    <w:name w:val="环评正文2"/>
    <w:basedOn w:val="1"/>
    <w:autoRedefine/>
    <w:qFormat/>
    <w:uiPriority w:val="0"/>
    <w:pPr>
      <w:ind w:firstLine="1680" w:firstLineChars="200"/>
    </w:pPr>
    <w:rPr>
      <w:rFonts w:cs="Times New Roman"/>
    </w:rPr>
  </w:style>
  <w:style w:type="character" w:customStyle="1" w:styleId="33">
    <w:name w:val="标题 2 Char"/>
    <w:link w:val="3"/>
    <w:autoRedefine/>
    <w:qFormat/>
    <w:uiPriority w:val="0"/>
    <w:rPr>
      <w:rFonts w:ascii="Arial" w:hAnsi="Arial" w:eastAsia="黑体"/>
      <w:sz w:val="32"/>
      <w:szCs w:val="32"/>
    </w:rPr>
  </w:style>
  <w:style w:type="paragraph" w:customStyle="1" w:styleId="34">
    <w:name w:val="环保表内字（五号）"/>
    <w:autoRedefine/>
    <w:qFormat/>
    <w:uiPriority w:val="0"/>
    <w:pPr>
      <w:widowControl w:val="0"/>
      <w:snapToGrid w:val="0"/>
      <w:spacing w:line="0" w:lineRule="atLeast"/>
      <w:ind w:firstLine="0" w:firstLineChars="0"/>
      <w:jc w:val="center"/>
    </w:pPr>
    <w:rPr>
      <w:rFonts w:ascii="Times New Roman" w:hAnsi="Times New Roman" w:eastAsia="宋体" w:cs="Times New Roman"/>
      <w:kern w:val="2"/>
      <w:sz w:val="21"/>
      <w:szCs w:val="21"/>
      <w:lang w:val="en-US" w:eastAsia="zh-CN" w:bidi="ar-SA"/>
    </w:rPr>
  </w:style>
  <w:style w:type="character" w:customStyle="1" w:styleId="35">
    <w:name w:val="表格文字 Char Char"/>
    <w:autoRedefine/>
    <w:qFormat/>
    <w:uiPriority w:val="0"/>
    <w:rPr>
      <w:rFonts w:ascii="Times New Roman" w:hAnsi="Times New Roman" w:eastAsia="宋体"/>
      <w:kern w:val="2"/>
      <w:sz w:val="21"/>
      <w:szCs w:val="21"/>
      <w:lang w:val="en-US" w:eastAsia="zh-CN" w:bidi="ar-SA"/>
    </w:rPr>
  </w:style>
  <w:style w:type="paragraph" w:customStyle="1" w:styleId="36">
    <w:name w:val="报告标3"/>
    <w:basedOn w:val="1"/>
    <w:autoRedefine/>
    <w:qFormat/>
    <w:uiPriority w:val="0"/>
    <w:pPr>
      <w:adjustRightInd w:val="0"/>
      <w:snapToGrid w:val="0"/>
      <w:spacing w:line="300" w:lineRule="auto"/>
    </w:pPr>
    <w:rPr>
      <w:rFonts w:ascii="宋体"/>
      <w:sz w:val="28"/>
      <w:szCs w:val="20"/>
    </w:rPr>
  </w:style>
  <w:style w:type="paragraph" w:styleId="37">
    <w:name w:val="List Paragraph"/>
    <w:basedOn w:val="1"/>
    <w:autoRedefine/>
    <w:qFormat/>
    <w:uiPriority w:val="0"/>
    <w:pPr>
      <w:widowControl/>
      <w:ind w:left="720"/>
      <w:contextualSpacing/>
      <w:jc w:val="left"/>
    </w:pPr>
    <w:rPr>
      <w:rFonts w:ascii="Calibri" w:hAnsi="Calibri"/>
      <w:kern w:val="0"/>
      <w:sz w:val="24"/>
      <w:szCs w:val="24"/>
    </w:rPr>
  </w:style>
  <w:style w:type="paragraph" w:customStyle="1" w:styleId="38">
    <w:name w:val="表内容"/>
    <w:basedOn w:val="1"/>
    <w:next w:val="1"/>
    <w:autoRedefine/>
    <w:qFormat/>
    <w:uiPriority w:val="0"/>
    <w:pPr>
      <w:spacing w:line="320" w:lineRule="exact"/>
      <w:jc w:val="center"/>
    </w:pPr>
    <w:rPr>
      <w:szCs w:val="20"/>
    </w:rPr>
  </w:style>
  <w:style w:type="paragraph" w:customStyle="1" w:styleId="39">
    <w:name w:val="表格居中内容"/>
    <w:basedOn w:val="1"/>
    <w:autoRedefine/>
    <w:qFormat/>
    <w:uiPriority w:val="0"/>
    <w:pPr>
      <w:ind w:firstLine="0" w:firstLineChars="0"/>
      <w:jc w:val="center"/>
    </w:pPr>
    <w:rPr>
      <w:sz w:val="21"/>
    </w:rPr>
  </w:style>
  <w:style w:type="paragraph" w:customStyle="1" w:styleId="40">
    <w:name w:val="表格内容空2个字"/>
    <w:basedOn w:val="1"/>
    <w:autoRedefine/>
    <w:qFormat/>
    <w:uiPriority w:val="0"/>
    <w:pPr>
      <w:spacing w:line="360" w:lineRule="auto"/>
      <w:ind w:firstLine="480" w:firstLineChars="200"/>
      <w:jc w:val="both"/>
    </w:pPr>
    <w:rPr>
      <w:rFonts w:ascii="Times New Roman" w:hAnsi="Times New Roman"/>
      <w:sz w:val="21"/>
      <w:szCs w:val="21"/>
    </w:rPr>
  </w:style>
  <w:style w:type="character" w:customStyle="1" w:styleId="41">
    <w:name w:val="font31"/>
    <w:basedOn w:val="22"/>
    <w:autoRedefine/>
    <w:qFormat/>
    <w:uiPriority w:val="0"/>
    <w:rPr>
      <w:rFonts w:hint="eastAsia" w:ascii="宋体" w:hAnsi="宋体" w:eastAsia="宋体" w:cs="宋体"/>
      <w:color w:val="000000"/>
      <w:sz w:val="24"/>
      <w:szCs w:val="24"/>
      <w:u w:val="none"/>
    </w:rPr>
  </w:style>
  <w:style w:type="paragraph" w:customStyle="1" w:styleId="42">
    <w:name w:val=" Char Char4"/>
    <w:basedOn w:val="1"/>
    <w:autoRedefine/>
    <w:qFormat/>
    <w:uiPriority w:val="0"/>
    <w:rPr>
      <w:sz w:val="24"/>
    </w:rPr>
  </w:style>
  <w:style w:type="paragraph" w:customStyle="1" w:styleId="43">
    <w:name w:val="首行缩进"/>
    <w:basedOn w:val="1"/>
    <w:autoRedefine/>
    <w:qFormat/>
    <w:uiPriority w:val="0"/>
    <w:pPr>
      <w:adjustRightInd w:val="0"/>
      <w:snapToGrid w:val="0"/>
      <w:spacing w:line="300" w:lineRule="auto"/>
      <w:ind w:firstLine="480" w:firstLineChars="200"/>
    </w:pPr>
    <w:rPr>
      <w:snapToGrid w:val="0"/>
      <w:color w:val="000000"/>
      <w:kern w:val="0"/>
      <w:sz w:val="24"/>
      <w:lang w:val="zh-CN"/>
    </w:rPr>
  </w:style>
  <w:style w:type="character" w:customStyle="1" w:styleId="44">
    <w:name w:val="标题 3 Char"/>
    <w:link w:val="4"/>
    <w:autoRedefine/>
    <w:qFormat/>
    <w:uiPriority w:val="0"/>
    <w:rPr>
      <w:rFonts w:ascii="宋体" w:hAnsi="宋体"/>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26053</Words>
  <Characters>27853</Characters>
  <Lines>0</Lines>
  <Paragraphs>0</Paragraphs>
  <TotalTime>5</TotalTime>
  <ScaleCrop>false</ScaleCrop>
  <LinksUpToDate>false</LinksUpToDate>
  <CharactersWithSpaces>28180</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2023-06-29T01:28:00Z</dcterms:created>
  <dc:creator>Administrator</dc:creator>
  <cp:lastModifiedBy>陌上咲</cp:lastModifiedBy>
  <dcterms:modified xsi:type="dcterms:W3CDTF">2024-05-14T05:02:50Z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CB379A9128544A56B28B691840645F7E_13</vt:lpwstr>
  </property>
</Properties>
</file>