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0555" w:rsidRDefault="00720555" w:rsidP="00720555">
      <w:pPr>
        <w:spacing w:line="530" w:lineRule="exact"/>
        <w:rPr>
          <w:rFonts w:ascii="Times New Roman" w:hAnsi="Times New Roman"/>
          <w:sz w:val="44"/>
          <w:szCs w:val="44"/>
        </w:rPr>
      </w:pPr>
      <w:r>
        <w:rPr>
          <w:rFonts w:ascii="仿宋_GB2312" w:eastAsia="仿宋_GB2312" w:hAnsi="仿宋_GB2312" w:cs="仿宋_GB2312" w:hint="eastAsia"/>
          <w:bCs/>
          <w:sz w:val="32"/>
          <w:szCs w:val="32"/>
        </w:rPr>
        <w:t>附件</w:t>
      </w:r>
    </w:p>
    <w:p w:rsidR="00720555" w:rsidRDefault="00720555" w:rsidP="00720555">
      <w:pPr>
        <w:spacing w:line="530" w:lineRule="exact"/>
        <w:jc w:val="center"/>
        <w:rPr>
          <w:rFonts w:ascii="Times New Roman" w:eastAsia="仿宋" w:hAnsi="Times New Roman"/>
          <w:sz w:val="32"/>
          <w:szCs w:val="32"/>
        </w:rPr>
      </w:pPr>
      <w:r>
        <w:rPr>
          <w:rFonts w:ascii="方正小标宋简体" w:eastAsia="方正小标宋简体" w:hAnsi="方正小标宋简体" w:cs="方正小标宋简体" w:hint="eastAsia"/>
          <w:bCs/>
          <w:sz w:val="44"/>
          <w:szCs w:val="44"/>
        </w:rPr>
        <w:t>抚松县2024年度首批重大行政决策事项目录</w:t>
      </w:r>
    </w:p>
    <w:p w:rsidR="00720555" w:rsidRDefault="00720555" w:rsidP="00720555">
      <w:pPr>
        <w:overflowPunct w:val="0"/>
        <w:spacing w:line="530" w:lineRule="exact"/>
        <w:ind w:firstLineChars="200" w:firstLine="640"/>
        <w:rPr>
          <w:rFonts w:ascii="Times New Roman" w:eastAsia="仿宋" w:hAnsi="Times New Roman"/>
          <w:bCs/>
          <w:sz w:val="32"/>
          <w:szCs w:val="32"/>
        </w:rPr>
      </w:pPr>
    </w:p>
    <w:tbl>
      <w:tblPr>
        <w:tblStyle w:val="a4"/>
        <w:tblW w:w="0" w:type="auto"/>
        <w:tblInd w:w="0" w:type="dxa"/>
        <w:tblCellMar>
          <w:top w:w="0" w:type="dxa"/>
          <w:left w:w="108" w:type="dxa"/>
          <w:bottom w:w="0" w:type="dxa"/>
          <w:right w:w="108" w:type="dxa"/>
        </w:tblCellMar>
        <w:tblLook w:val="0000"/>
      </w:tblPr>
      <w:tblGrid>
        <w:gridCol w:w="858"/>
        <w:gridCol w:w="3805"/>
        <w:gridCol w:w="2022"/>
        <w:gridCol w:w="5400"/>
        <w:gridCol w:w="1736"/>
      </w:tblGrid>
      <w:tr w:rsidR="00720555" w:rsidTr="00D5710A">
        <w:trPr>
          <w:trHeight w:val="742"/>
        </w:trPr>
        <w:tc>
          <w:tcPr>
            <w:tcW w:w="858" w:type="dxa"/>
            <w:vAlign w:val="center"/>
          </w:tcPr>
          <w:p w:rsidR="00720555" w:rsidRDefault="00720555" w:rsidP="00D5710A">
            <w:pPr>
              <w:spacing w:line="400" w:lineRule="exact"/>
              <w:jc w:val="center"/>
              <w:rPr>
                <w:rFonts w:ascii="方正黑体简体" w:eastAsia="方正黑体简体" w:hAnsi="方正黑体简体" w:cs="方正黑体简体" w:hint="eastAsia"/>
                <w:sz w:val="24"/>
              </w:rPr>
            </w:pPr>
            <w:r>
              <w:rPr>
                <w:rFonts w:ascii="方正黑体简体" w:eastAsia="方正黑体简体" w:hAnsi="方正黑体简体" w:cs="方正黑体简体" w:hint="eastAsia"/>
                <w:sz w:val="24"/>
              </w:rPr>
              <w:t>序号</w:t>
            </w:r>
          </w:p>
        </w:tc>
        <w:tc>
          <w:tcPr>
            <w:tcW w:w="3805" w:type="dxa"/>
            <w:vAlign w:val="center"/>
          </w:tcPr>
          <w:p w:rsidR="00720555" w:rsidRDefault="00720555" w:rsidP="00D5710A">
            <w:pPr>
              <w:spacing w:line="400" w:lineRule="exact"/>
              <w:jc w:val="center"/>
              <w:rPr>
                <w:rFonts w:ascii="方正黑体简体" w:eastAsia="方正黑体简体" w:hAnsi="方正黑体简体" w:cs="方正黑体简体" w:hint="eastAsia"/>
                <w:sz w:val="24"/>
              </w:rPr>
            </w:pPr>
            <w:r>
              <w:rPr>
                <w:rFonts w:ascii="方正黑体简体" w:eastAsia="方正黑体简体" w:hAnsi="方正黑体简体" w:cs="方正黑体简体" w:hint="eastAsia"/>
                <w:sz w:val="24"/>
              </w:rPr>
              <w:t>重大行政决策事项</w:t>
            </w:r>
          </w:p>
        </w:tc>
        <w:tc>
          <w:tcPr>
            <w:tcW w:w="2022" w:type="dxa"/>
            <w:vAlign w:val="center"/>
          </w:tcPr>
          <w:p w:rsidR="00720555" w:rsidRDefault="00720555" w:rsidP="00D5710A">
            <w:pPr>
              <w:spacing w:line="400" w:lineRule="exact"/>
              <w:jc w:val="center"/>
              <w:rPr>
                <w:rFonts w:ascii="方正黑体简体" w:eastAsia="方正黑体简体" w:hAnsi="方正黑体简体" w:cs="方正黑体简体" w:hint="eastAsia"/>
                <w:sz w:val="24"/>
              </w:rPr>
            </w:pPr>
            <w:r>
              <w:rPr>
                <w:rFonts w:ascii="方正黑体简体" w:eastAsia="方正黑体简体" w:hAnsi="方正黑体简体" w:cs="方正黑体简体" w:hint="eastAsia"/>
                <w:sz w:val="24"/>
              </w:rPr>
              <w:t>决策承办单位</w:t>
            </w:r>
          </w:p>
        </w:tc>
        <w:tc>
          <w:tcPr>
            <w:tcW w:w="5400" w:type="dxa"/>
            <w:vAlign w:val="center"/>
          </w:tcPr>
          <w:p w:rsidR="00720555" w:rsidRDefault="00720555" w:rsidP="00D5710A">
            <w:pPr>
              <w:spacing w:line="400" w:lineRule="exact"/>
              <w:jc w:val="center"/>
              <w:rPr>
                <w:rFonts w:ascii="方正黑体简体" w:eastAsia="方正黑体简体" w:hAnsi="方正黑体简体" w:cs="方正黑体简体" w:hint="eastAsia"/>
                <w:sz w:val="24"/>
              </w:rPr>
            </w:pPr>
            <w:r>
              <w:rPr>
                <w:rFonts w:ascii="方正黑体简体" w:eastAsia="方正黑体简体" w:hAnsi="方正黑体简体" w:cs="方正黑体简体" w:hint="eastAsia"/>
                <w:sz w:val="24"/>
              </w:rPr>
              <w:t>决策依据</w:t>
            </w:r>
          </w:p>
        </w:tc>
        <w:tc>
          <w:tcPr>
            <w:tcW w:w="1736" w:type="dxa"/>
            <w:vAlign w:val="center"/>
          </w:tcPr>
          <w:p w:rsidR="00720555" w:rsidRDefault="00720555" w:rsidP="00D5710A">
            <w:pPr>
              <w:spacing w:line="400" w:lineRule="exact"/>
              <w:jc w:val="center"/>
              <w:rPr>
                <w:rFonts w:ascii="方正黑体简体" w:eastAsia="方正黑体简体" w:hAnsi="方正黑体简体" w:cs="方正黑体简体" w:hint="eastAsia"/>
                <w:sz w:val="24"/>
              </w:rPr>
            </w:pPr>
            <w:r>
              <w:rPr>
                <w:rFonts w:ascii="方正黑体简体" w:eastAsia="方正黑体简体" w:hAnsi="方正黑体简体" w:cs="方正黑体简体" w:hint="eastAsia"/>
                <w:sz w:val="24"/>
              </w:rPr>
              <w:t>完成时间</w:t>
            </w:r>
          </w:p>
        </w:tc>
      </w:tr>
      <w:tr w:rsidR="00720555" w:rsidTr="00D5710A">
        <w:trPr>
          <w:trHeight w:val="90"/>
        </w:trPr>
        <w:tc>
          <w:tcPr>
            <w:tcW w:w="858" w:type="dxa"/>
            <w:vAlign w:val="center"/>
          </w:tcPr>
          <w:p w:rsidR="00720555" w:rsidRDefault="00720555" w:rsidP="00D5710A">
            <w:pPr>
              <w:spacing w:line="300" w:lineRule="exact"/>
              <w:jc w:val="center"/>
              <w:rPr>
                <w:rFonts w:ascii="Times New Roman" w:eastAsia="方正仿宋简体" w:hAnsi="Times New Roman"/>
                <w:sz w:val="24"/>
              </w:rPr>
            </w:pPr>
            <w:r>
              <w:rPr>
                <w:rFonts w:ascii="Times New Roman" w:eastAsia="方正仿宋简体" w:hAnsi="Times New Roman" w:hint="eastAsia"/>
                <w:sz w:val="24"/>
              </w:rPr>
              <w:t>1</w:t>
            </w:r>
          </w:p>
        </w:tc>
        <w:tc>
          <w:tcPr>
            <w:tcW w:w="3805" w:type="dxa"/>
            <w:vAlign w:val="center"/>
          </w:tcPr>
          <w:p w:rsidR="00720555" w:rsidRDefault="00720555" w:rsidP="00D5710A">
            <w:pPr>
              <w:spacing w:line="300" w:lineRule="exact"/>
              <w:jc w:val="left"/>
              <w:rPr>
                <w:rFonts w:ascii="仿宋_GB2312" w:eastAsia="仿宋_GB2312" w:hAnsi="仿宋_GB2312" w:cs="仿宋_GB2312" w:hint="eastAsia"/>
                <w:sz w:val="24"/>
              </w:rPr>
            </w:pPr>
            <w:r>
              <w:rPr>
                <w:rFonts w:ascii="仿宋_GB2312" w:eastAsia="仿宋_GB2312" w:hAnsi="仿宋_GB2312" w:cs="仿宋_GB2312" w:hint="eastAsia"/>
                <w:sz w:val="24"/>
              </w:rPr>
              <w:t>《松花江水上旅游规划》</w:t>
            </w:r>
          </w:p>
        </w:tc>
        <w:tc>
          <w:tcPr>
            <w:tcW w:w="2022" w:type="dxa"/>
            <w:vAlign w:val="center"/>
          </w:tcPr>
          <w:p w:rsidR="00720555" w:rsidRDefault="00720555" w:rsidP="00D5710A">
            <w:pPr>
              <w:spacing w:line="300" w:lineRule="exact"/>
              <w:jc w:val="center"/>
              <w:rPr>
                <w:rFonts w:ascii="仿宋_GB2312" w:eastAsia="仿宋_GB2312" w:hAnsi="仿宋_GB2312" w:cs="仿宋_GB2312" w:hint="eastAsia"/>
                <w:kern w:val="2"/>
                <w:sz w:val="24"/>
              </w:rPr>
            </w:pPr>
            <w:r>
              <w:rPr>
                <w:rFonts w:ascii="仿宋_GB2312" w:eastAsia="仿宋_GB2312" w:hAnsi="仿宋_GB2312" w:cs="仿宋_GB2312" w:hint="eastAsia"/>
                <w:kern w:val="2"/>
                <w:sz w:val="24"/>
              </w:rPr>
              <w:t>文旅局</w:t>
            </w:r>
          </w:p>
        </w:tc>
        <w:tc>
          <w:tcPr>
            <w:tcW w:w="5400" w:type="dxa"/>
            <w:vAlign w:val="center"/>
          </w:tcPr>
          <w:p w:rsidR="00720555" w:rsidRDefault="00720555" w:rsidP="00D5710A">
            <w:pPr>
              <w:spacing w:line="300" w:lineRule="exact"/>
              <w:rPr>
                <w:rFonts w:ascii="仿宋_GB2312" w:eastAsia="仿宋_GB2312" w:hAnsi="仿宋_GB2312" w:cs="仿宋_GB2312" w:hint="eastAsia"/>
                <w:sz w:val="24"/>
              </w:rPr>
            </w:pPr>
            <w:r>
              <w:rPr>
                <w:rFonts w:ascii="仿宋_GB2312" w:eastAsia="仿宋_GB2312" w:hAnsi="仿宋_GB2312" w:cs="仿宋_GB2312" w:hint="eastAsia"/>
                <w:sz w:val="24"/>
              </w:rPr>
              <w:t>深入贯彻落实省委加快完善松花江水路和沿边开放旅游大通道等旅游基础设施和公共服务设施工作精神，积极融入白山市“三大两新”绿色产业集群，“一山两江”品牌战略、“一体两翼”发展格局，加快推进松花江旅游经济带建设。</w:t>
            </w:r>
          </w:p>
        </w:tc>
        <w:tc>
          <w:tcPr>
            <w:tcW w:w="1736" w:type="dxa"/>
            <w:vAlign w:val="center"/>
          </w:tcPr>
          <w:p w:rsidR="00720555" w:rsidRDefault="00720555" w:rsidP="00D5710A">
            <w:pPr>
              <w:spacing w:line="300" w:lineRule="exact"/>
              <w:jc w:val="center"/>
              <w:rPr>
                <w:rFonts w:ascii="仿宋_GB2312" w:eastAsia="仿宋_GB2312" w:hAnsi="仿宋_GB2312" w:cs="仿宋_GB2312" w:hint="eastAsia"/>
                <w:sz w:val="24"/>
              </w:rPr>
            </w:pPr>
            <w:r>
              <w:rPr>
                <w:rFonts w:ascii="仿宋_GB2312" w:eastAsia="仿宋_GB2312" w:hAnsi="仿宋_GB2312" w:cs="仿宋_GB2312" w:hint="eastAsia"/>
                <w:sz w:val="24"/>
              </w:rPr>
              <w:t>2024年12月</w:t>
            </w:r>
          </w:p>
        </w:tc>
      </w:tr>
      <w:tr w:rsidR="00720555" w:rsidTr="00D5710A">
        <w:trPr>
          <w:trHeight w:val="1930"/>
        </w:trPr>
        <w:tc>
          <w:tcPr>
            <w:tcW w:w="858" w:type="dxa"/>
            <w:vAlign w:val="center"/>
          </w:tcPr>
          <w:p w:rsidR="00720555" w:rsidRDefault="00720555" w:rsidP="00D5710A">
            <w:pPr>
              <w:spacing w:line="300" w:lineRule="exact"/>
              <w:jc w:val="center"/>
              <w:rPr>
                <w:rFonts w:ascii="Times New Roman" w:eastAsia="方正仿宋简体" w:hAnsi="Times New Roman"/>
                <w:sz w:val="24"/>
              </w:rPr>
            </w:pPr>
            <w:r>
              <w:rPr>
                <w:rFonts w:ascii="Times New Roman" w:eastAsia="方正仿宋简体" w:hAnsi="Times New Roman" w:hint="eastAsia"/>
                <w:sz w:val="24"/>
              </w:rPr>
              <w:t>2</w:t>
            </w:r>
          </w:p>
        </w:tc>
        <w:tc>
          <w:tcPr>
            <w:tcW w:w="3805" w:type="dxa"/>
            <w:vAlign w:val="center"/>
          </w:tcPr>
          <w:p w:rsidR="00720555" w:rsidRDefault="00720555" w:rsidP="00D5710A">
            <w:pPr>
              <w:spacing w:line="300" w:lineRule="exact"/>
              <w:jc w:val="left"/>
              <w:rPr>
                <w:rFonts w:ascii="仿宋_GB2312" w:eastAsia="仿宋_GB2312" w:hAnsi="仿宋_GB2312" w:cs="仿宋_GB2312" w:hint="eastAsia"/>
                <w:kern w:val="2"/>
                <w:sz w:val="24"/>
              </w:rPr>
            </w:pPr>
            <w:r>
              <w:rPr>
                <w:rFonts w:ascii="仿宋_GB2312" w:eastAsia="仿宋_GB2312" w:hAnsi="仿宋_GB2312" w:cs="仿宋_GB2312" w:hint="eastAsia"/>
                <w:kern w:val="2"/>
                <w:sz w:val="24"/>
              </w:rPr>
              <w:t>制定天然气价格上下游联动机制</w:t>
            </w:r>
          </w:p>
        </w:tc>
        <w:tc>
          <w:tcPr>
            <w:tcW w:w="2022" w:type="dxa"/>
            <w:vAlign w:val="center"/>
          </w:tcPr>
          <w:p w:rsidR="00720555" w:rsidRDefault="00720555" w:rsidP="00D5710A">
            <w:pPr>
              <w:spacing w:line="300" w:lineRule="exact"/>
              <w:jc w:val="center"/>
              <w:rPr>
                <w:rFonts w:ascii="仿宋_GB2312" w:eastAsia="仿宋_GB2312" w:hAnsi="仿宋_GB2312" w:cs="仿宋_GB2312" w:hint="eastAsia"/>
                <w:kern w:val="2"/>
                <w:sz w:val="24"/>
              </w:rPr>
            </w:pPr>
            <w:r>
              <w:rPr>
                <w:rFonts w:ascii="仿宋_GB2312" w:eastAsia="仿宋_GB2312" w:hAnsi="仿宋_GB2312" w:cs="仿宋_GB2312" w:hint="eastAsia"/>
                <w:kern w:val="2"/>
                <w:sz w:val="24"/>
              </w:rPr>
              <w:t>发改局</w:t>
            </w:r>
          </w:p>
        </w:tc>
        <w:tc>
          <w:tcPr>
            <w:tcW w:w="5400" w:type="dxa"/>
            <w:vAlign w:val="center"/>
          </w:tcPr>
          <w:p w:rsidR="00720555" w:rsidRDefault="00720555" w:rsidP="00D5710A">
            <w:pPr>
              <w:spacing w:line="300" w:lineRule="exact"/>
              <w:rPr>
                <w:rFonts w:ascii="仿宋_GB2312" w:eastAsia="仿宋_GB2312" w:hAnsi="仿宋_GB2312" w:cs="仿宋_GB2312" w:hint="eastAsia"/>
                <w:kern w:val="2"/>
                <w:sz w:val="24"/>
              </w:rPr>
            </w:pPr>
            <w:r>
              <w:rPr>
                <w:rFonts w:ascii="仿宋_GB2312" w:eastAsia="仿宋_GB2312" w:hAnsi="仿宋_GB2312" w:cs="仿宋_GB2312" w:hint="eastAsia"/>
                <w:sz w:val="24"/>
              </w:rPr>
              <w:t>《价格法》、《吉林省定价目录》、《关于加快天然气上下游联动机制建设的通知》（吉发改价格</w:t>
            </w:r>
            <w:r>
              <w:rPr>
                <w:rFonts w:ascii="仿宋" w:eastAsia="仿宋" w:hAnsi="仿宋" w:cs="仿宋" w:hint="eastAsia"/>
                <w:sz w:val="24"/>
              </w:rPr>
              <w:t>〔</w:t>
            </w:r>
            <w:r>
              <w:rPr>
                <w:rFonts w:ascii="仿宋_GB2312" w:eastAsia="仿宋_GB2312" w:hAnsi="仿宋_GB2312" w:cs="仿宋_GB2312" w:hint="eastAsia"/>
                <w:sz w:val="24"/>
              </w:rPr>
              <w:t>2024</w:t>
            </w:r>
            <w:r>
              <w:rPr>
                <w:rFonts w:ascii="仿宋" w:eastAsia="仿宋" w:hAnsi="仿宋" w:cs="仿宋" w:hint="eastAsia"/>
                <w:sz w:val="24"/>
              </w:rPr>
              <w:t>〕</w:t>
            </w:r>
            <w:r>
              <w:rPr>
                <w:rFonts w:ascii="仿宋_GB2312" w:eastAsia="仿宋_GB2312" w:hAnsi="仿宋_GB2312" w:cs="仿宋_GB2312" w:hint="eastAsia"/>
                <w:sz w:val="24"/>
              </w:rPr>
              <w:t>60号）</w:t>
            </w:r>
          </w:p>
        </w:tc>
        <w:tc>
          <w:tcPr>
            <w:tcW w:w="1736" w:type="dxa"/>
            <w:vAlign w:val="center"/>
          </w:tcPr>
          <w:p w:rsidR="00720555" w:rsidRDefault="00720555" w:rsidP="00D5710A">
            <w:pPr>
              <w:spacing w:line="300" w:lineRule="exact"/>
              <w:jc w:val="center"/>
              <w:rPr>
                <w:rFonts w:ascii="仿宋_GB2312" w:eastAsia="仿宋_GB2312" w:hAnsi="仿宋_GB2312" w:cs="仿宋_GB2312" w:hint="eastAsia"/>
                <w:kern w:val="2"/>
                <w:sz w:val="24"/>
              </w:rPr>
            </w:pPr>
            <w:r>
              <w:rPr>
                <w:rFonts w:ascii="仿宋_GB2312" w:eastAsia="仿宋_GB2312" w:hAnsi="仿宋_GB2312" w:cs="仿宋_GB2312" w:hint="eastAsia"/>
                <w:sz w:val="24"/>
              </w:rPr>
              <w:t>2024年12月</w:t>
            </w:r>
          </w:p>
        </w:tc>
      </w:tr>
    </w:tbl>
    <w:p w:rsidR="00720555" w:rsidRDefault="00720555" w:rsidP="00720555">
      <w:pPr>
        <w:pStyle w:val="a3"/>
        <w:ind w:leftChars="0" w:left="0"/>
        <w:sectPr w:rsidR="00720555">
          <w:pgSz w:w="16838" w:h="11906" w:orient="landscape"/>
          <w:pgMar w:top="1800" w:right="1440" w:bottom="1800" w:left="1440" w:header="851" w:footer="992" w:gutter="0"/>
          <w:cols w:space="720"/>
          <w:docGrid w:type="lines" w:linePitch="312"/>
        </w:sectPr>
      </w:pPr>
    </w:p>
    <w:p w:rsidR="00B27E91" w:rsidRDefault="00B27E91"/>
    <w:sectPr w:rsidR="00B27E91" w:rsidSect="00B27E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微软雅黑"/>
    <w:charset w:val="86"/>
    <w:family w:val="auto"/>
    <w:pitch w:val="default"/>
    <w:sig w:usb0="00000000" w:usb1="080E0000" w:usb2="00000000" w:usb3="00000000" w:csb0="00040000" w:csb1="00000000"/>
  </w:font>
  <w:font w:name="方正小标宋简体">
    <w:altName w:val="微软雅黑"/>
    <w:charset w:val="86"/>
    <w:family w:val="auto"/>
    <w:pitch w:val="default"/>
    <w:sig w:usb0="00000000" w:usb1="184F6CFA" w:usb2="00000012" w:usb3="00000000" w:csb0="00040001" w:csb1="00000000"/>
  </w:font>
  <w:font w:name="仿宋">
    <w:panose1 w:val="02010609060101010101"/>
    <w:charset w:val="86"/>
    <w:family w:val="modern"/>
    <w:pitch w:val="fixed"/>
    <w:sig w:usb0="800002BF" w:usb1="38CF7CFA" w:usb2="00000016" w:usb3="00000000" w:csb0="00040001" w:csb1="00000000"/>
  </w:font>
  <w:font w:name="方正黑体简体">
    <w:altName w:val="微软雅黑"/>
    <w:charset w:val="86"/>
    <w:family w:val="auto"/>
    <w:pitch w:val="default"/>
    <w:sig w:usb0="00000000" w:usb1="080E0000" w:usb2="00000000" w:usb3="00000000" w:csb0="00040000" w:csb1="00000000"/>
  </w:font>
  <w:font w:name="方正仿宋简体">
    <w:altName w:val="微软雅黑"/>
    <w:charset w:val="86"/>
    <w:family w:val="auto"/>
    <w:pitch w:val="default"/>
    <w:sig w:usb0="00000000" w:usb1="080E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0555"/>
    <w:rsid w:val="00720555"/>
    <w:rsid w:val="00B27E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20555"/>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unhideWhenUsed/>
    <w:qFormat/>
    <w:rsid w:val="00720555"/>
    <w:pPr>
      <w:spacing w:after="120"/>
      <w:ind w:leftChars="200" w:left="420"/>
    </w:pPr>
  </w:style>
  <w:style w:type="character" w:customStyle="1" w:styleId="Char">
    <w:name w:val="正文文本缩进 Char"/>
    <w:basedOn w:val="a0"/>
    <w:link w:val="a3"/>
    <w:rsid w:val="00720555"/>
    <w:rPr>
      <w:rFonts w:ascii="Calibri" w:eastAsia="宋体" w:hAnsi="Calibri" w:cs="Times New Roman"/>
      <w:szCs w:val="24"/>
    </w:rPr>
  </w:style>
  <w:style w:type="table" w:styleId="a4">
    <w:name w:val="Table Grid"/>
    <w:qFormat/>
    <w:rsid w:val="00720555"/>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Words>
  <Characters>234</Characters>
  <Application>Microsoft Office Word</Application>
  <DocSecurity>0</DocSecurity>
  <Lines>1</Lines>
  <Paragraphs>1</Paragraphs>
  <ScaleCrop>false</ScaleCrop>
  <Company/>
  <LinksUpToDate>false</LinksUpToDate>
  <CharactersWithSpaces>274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2024-06-28T09:17:00Z</dcterms:created>
  <dcterms:modified xsi:type="dcterms:W3CDTF">2024-06-28T09:18:00Z</dcterms:modified>
</cp:coreProperties>
</file>