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 w:themeColor="background1"/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/>
        <w:jc w:val="center"/>
      </w:pPr>
      <w:r>
        <w:rPr>
          <w:rFonts w:ascii="宋体" w:hAnsi="宋体" w:eastAsia="宋体" w:cs="宋体"/>
          <w:b/>
          <w:bCs/>
          <w:color w:val="333333"/>
          <w:kern w:val="0"/>
          <w:sz w:val="36"/>
          <w:szCs w:val="36"/>
          <w:shd w:val="clear" w:fill="FFFFFF"/>
          <w:lang w:val="en-US" w:eastAsia="zh-CN" w:bidi="ar"/>
        </w:rPr>
        <w:t>政府信息公开工作年度报告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80"/>
        <w:jc w:val="left"/>
        <w:rPr>
          <w:rFonts w:hint="default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根据《中华人民共和国政府信息公开条例》规定，现公开2021政务公开年度报告。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80"/>
        <w:jc w:val="left"/>
      </w:pPr>
      <w:r>
        <w:rPr>
          <w:rFonts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一、总体情况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80"/>
        <w:jc w:val="left"/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抚松县审计局</w:t>
      </w: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2020年度审计项目计划全部完成，当年未制定相关规章制度和规范性文件，未进行行政处罚等。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（一）组织推动全省政府信息公开工作。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（二）积极推动政府信息主动公开。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（三）认真规范处理依申请公开。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（四）不断强化政府信息公开平台内容保障。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（五）全力做好宣传培训评估考核等基础工作。</w:t>
      </w:r>
    </w:p>
    <w:p>
      <w:pPr>
        <w:keepNext w:val="0"/>
        <w:keepLines w:val="0"/>
        <w:widowControl/>
        <w:numPr>
          <w:numId w:val="0"/>
        </w:numPr>
        <w:suppressLineNumbers w:val="0"/>
        <w:shd w:val="clear" w:fill="FFFFFF"/>
        <w:spacing w:before="0" w:beforeAutospacing="0" w:after="0" w:afterAutospacing="0"/>
        <w:ind w:left="480" w:leftChars="0" w:right="0" w:rightChars="0"/>
        <w:jc w:val="left"/>
        <w:rPr>
          <w:rFonts w:ascii="宋体" w:hAnsi="宋体" w:eastAsia="宋体" w:cs="宋体"/>
          <w:b/>
          <w:bCs/>
          <w:sz w:val="24"/>
          <w:szCs w:val="24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24"/>
          <w:szCs w:val="24"/>
        </w:rPr>
        <w:t>二、</w:t>
      </w: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主动</w:t>
      </w:r>
      <w:r>
        <w:rPr>
          <w:rFonts w:hint="eastAsia" w:ascii="宋体" w:hAnsi="宋体" w:eastAsia="宋体" w:cs="宋体"/>
          <w:b/>
          <w:bCs/>
          <w:sz w:val="24"/>
          <w:szCs w:val="24"/>
        </w:rPr>
        <w:t>公开政府信息情况</w:t>
      </w:r>
    </w:p>
    <w:tbl>
      <w:tblPr>
        <w:tblStyle w:val="6"/>
        <w:tblW w:w="901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61"/>
        <w:gridCol w:w="2184"/>
        <w:gridCol w:w="2184"/>
        <w:gridCol w:w="218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5" w:hRule="atLeast"/>
          <w:jc w:val="center"/>
        </w:trPr>
        <w:tc>
          <w:tcPr>
            <w:tcW w:w="9014" w:type="dxa"/>
            <w:gridSpan w:val="4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第二十条第（一）项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21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本年制发件数</w:t>
            </w:r>
          </w:p>
        </w:tc>
        <w:tc>
          <w:tcPr>
            <w:tcW w:w="218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本年废止件数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现行有效件数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规章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行政规范性文件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18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  <w:tc>
          <w:tcPr>
            <w:tcW w:w="218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0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第二十条第（五）项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行政许可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6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第二十条第（六）项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本年处理决定数量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0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行政处罚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9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行政强制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4" w:hRule="atLeast"/>
          <w:jc w:val="center"/>
        </w:trPr>
        <w:tc>
          <w:tcPr>
            <w:tcW w:w="9014" w:type="dxa"/>
            <w:gridSpan w:val="4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C6D9F1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第二十条第（八）项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信息内容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本年收费金额（单位：万元）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1" w:hRule="atLeast"/>
          <w:jc w:val="center"/>
        </w:trPr>
        <w:tc>
          <w:tcPr>
            <w:tcW w:w="2461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0"/>
                <w:szCs w:val="20"/>
              </w:rPr>
              <w:t>行政事业性收费</w:t>
            </w:r>
          </w:p>
        </w:tc>
        <w:tc>
          <w:tcPr>
            <w:tcW w:w="6553" w:type="dxa"/>
            <w:gridSpan w:val="3"/>
            <w:tcBorders>
              <w:top w:val="nil"/>
              <w:left w:val="nil"/>
              <w:bottom w:val="single" w:color="auto" w:sz="8" w:space="0"/>
              <w:right w:val="single" w:color="000000" w:sz="8" w:space="0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0</w:t>
            </w:r>
          </w:p>
        </w:tc>
      </w:tr>
    </w:tbl>
    <w:p>
      <w:pPr>
        <w:numPr>
          <w:ilvl w:val="0"/>
          <w:numId w:val="1"/>
        </w:numPr>
        <w:ind w:firstLine="482" w:firstLineChars="200"/>
        <w:rPr>
          <w:rFonts w:ascii="宋体" w:hAnsi="宋体" w:eastAsia="宋体" w:cs="宋体"/>
          <w:b/>
          <w:bCs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4"/>
          <w:szCs w:val="24"/>
        </w:rPr>
        <w:t>收到和处理政府信息公开申请情况</w:t>
      </w:r>
    </w:p>
    <w:tbl>
      <w:tblPr>
        <w:tblStyle w:val="7"/>
        <w:tblW w:w="901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3"/>
        <w:gridCol w:w="815"/>
        <w:gridCol w:w="2651"/>
        <w:gridCol w:w="685"/>
        <w:gridCol w:w="696"/>
        <w:gridCol w:w="729"/>
        <w:gridCol w:w="707"/>
        <w:gridCol w:w="762"/>
        <w:gridCol w:w="685"/>
        <w:gridCol w:w="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4119" w:type="dxa"/>
            <w:gridSpan w:val="3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ascii="楷体" w:hAnsi="楷体" w:eastAsia="楷体" w:cs="楷体"/>
                <w:kern w:val="0"/>
                <w:sz w:val="20"/>
                <w:szCs w:val="20"/>
                <w:lang w:bidi="ar"/>
              </w:rPr>
              <w:t>（本列数据的勾稽关系为：第一项加第二项之和，等于第三项加第四项之和）</w:t>
            </w:r>
          </w:p>
        </w:tc>
        <w:tc>
          <w:tcPr>
            <w:tcW w:w="4895" w:type="dxa"/>
            <w:gridSpan w:val="7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申请人情况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  <w:jc w:val="center"/>
        </w:trPr>
        <w:tc>
          <w:tcPr>
            <w:tcW w:w="4119" w:type="dxa"/>
            <w:gridSpan w:val="3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自然人</w:t>
            </w:r>
          </w:p>
        </w:tc>
        <w:tc>
          <w:tcPr>
            <w:tcW w:w="3579" w:type="dxa"/>
            <w:gridSpan w:val="5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法人或其他组织</w:t>
            </w:r>
          </w:p>
        </w:tc>
        <w:tc>
          <w:tcPr>
            <w:tcW w:w="631" w:type="dxa"/>
            <w:vMerge w:val="restart"/>
            <w:vAlign w:val="center"/>
          </w:tcPr>
          <w:p>
            <w:pPr>
              <w:jc w:val="center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总计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119" w:type="dxa"/>
            <w:gridSpan w:val="3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  <w:vAlign w:val="center"/>
          </w:tcPr>
          <w:p>
            <w:pPr>
              <w:widowControl/>
              <w:spacing w:line="12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商业企业</w:t>
            </w:r>
          </w:p>
        </w:tc>
        <w:tc>
          <w:tcPr>
            <w:tcW w:w="729" w:type="dxa"/>
            <w:vAlign w:val="center"/>
          </w:tcPr>
          <w:p>
            <w:pPr>
              <w:widowControl/>
              <w:spacing w:line="12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科研机构</w:t>
            </w:r>
          </w:p>
        </w:tc>
        <w:tc>
          <w:tcPr>
            <w:tcW w:w="707" w:type="dxa"/>
            <w:vAlign w:val="center"/>
          </w:tcPr>
          <w:p>
            <w:pPr>
              <w:widowControl/>
              <w:spacing w:line="12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社会公益组织</w:t>
            </w:r>
          </w:p>
        </w:tc>
        <w:tc>
          <w:tcPr>
            <w:tcW w:w="762" w:type="dxa"/>
            <w:vAlign w:val="center"/>
          </w:tcPr>
          <w:p>
            <w:pPr>
              <w:widowControl/>
              <w:spacing w:line="12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法律服务机构</w:t>
            </w:r>
          </w:p>
        </w:tc>
        <w:tc>
          <w:tcPr>
            <w:tcW w:w="685" w:type="dxa"/>
            <w:vAlign w:val="center"/>
          </w:tcPr>
          <w:p>
            <w:pPr>
              <w:widowControl/>
              <w:spacing w:line="12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其他</w:t>
            </w:r>
          </w:p>
        </w:tc>
        <w:tc>
          <w:tcPr>
            <w:tcW w:w="631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4119" w:type="dxa"/>
            <w:gridSpan w:val="3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一、本年新收政府信息公开申请数量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4119" w:type="dxa"/>
            <w:gridSpan w:val="3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二、上年结转政府信息公开申请数量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653" w:type="dxa"/>
            <w:vMerge w:val="restart"/>
            <w:vAlign w:val="center"/>
          </w:tcPr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</w:pPr>
          </w:p>
          <w:p>
            <w:pPr>
              <w:widowControl/>
              <w:spacing w:line="12" w:lineRule="atLeas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三、本年度办理结果</w:t>
            </w:r>
          </w:p>
        </w:tc>
        <w:tc>
          <w:tcPr>
            <w:tcW w:w="3466" w:type="dxa"/>
            <w:gridSpan w:val="2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（一）予以公开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3466" w:type="dxa"/>
            <w:gridSpan w:val="2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（二）部分公开</w:t>
            </w:r>
            <w:r>
              <w:rPr>
                <w:rFonts w:hint="eastAsia" w:ascii="楷体" w:hAnsi="楷体" w:eastAsia="楷体" w:cs="楷体"/>
                <w:kern w:val="0"/>
                <w:sz w:val="20"/>
                <w:szCs w:val="20"/>
                <w:lang w:bidi="ar"/>
              </w:rPr>
              <w:t>（区分处理的，只计这一情形，不计其他情形）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restart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（三）不予公开</w:t>
            </w: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1.属于国家秘密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2.其他法律行政法规禁止公开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3.危及“三安全一稳定”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4.保护第三方合法权益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5.属于三类内部事务信息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9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6.属于四类过程性信息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7.属于行政执法案卷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8.属于行政查询事项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restart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（四）无法提供</w:t>
            </w: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1.本机关不掌握相关政府信息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2.没有现成信息需要另行制作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3.补正后申请内容仍不明确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restart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（五）不予处理</w:t>
            </w: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1.信访举报投诉类申请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9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2.重复申请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3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3.要求提供公开出版物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4.无正当理由大量反复申请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5.要求行政机关确认或重新出具已获取信息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restart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（六）其他处理</w:t>
            </w: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1.申请人无正当理由逾期不补正、行政机关不再处理其政府信息公开申请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2.申请人逾期未按收费通知要求缴纳费用、行政机关不再处理其政府信息公开申请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5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815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2651" w:type="dxa"/>
            <w:vAlign w:val="center"/>
          </w:tcPr>
          <w:p>
            <w:pPr>
              <w:widowControl/>
              <w:spacing w:line="12" w:lineRule="atLeast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3.其他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653" w:type="dxa"/>
            <w:vMerge w:val="continue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3466" w:type="dxa"/>
            <w:gridSpan w:val="2"/>
            <w:vAlign w:val="center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bidi="ar"/>
              </w:rPr>
              <w:t>（七）总计</w:t>
            </w: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96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29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07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762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85" w:type="dxa"/>
          </w:tcPr>
          <w:p>
            <w:pPr>
              <w:rPr>
                <w:rFonts w:ascii="宋体" w:hAnsi="宋体" w:eastAsia="宋体" w:cs="宋体"/>
                <w:b/>
                <w:bCs/>
                <w:sz w:val="24"/>
                <w:szCs w:val="24"/>
              </w:rPr>
            </w:pPr>
          </w:p>
        </w:tc>
        <w:tc>
          <w:tcPr>
            <w:tcW w:w="631" w:type="dxa"/>
          </w:tcPr>
          <w:p>
            <w:pP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  <w:lang w:val="en-US" w:eastAsia="zh-CN"/>
              </w:rPr>
              <w:t>0</w:t>
            </w:r>
          </w:p>
        </w:tc>
      </w:tr>
    </w:tbl>
    <w:p>
      <w:pPr>
        <w:numPr>
          <w:ilvl w:val="0"/>
          <w:numId w:val="0"/>
        </w:numPr>
        <w:rPr>
          <w:rFonts w:ascii="宋体" w:hAnsi="宋体" w:eastAsia="宋体" w:cs="宋体"/>
          <w:b/>
          <w:bCs/>
          <w:sz w:val="24"/>
          <w:szCs w:val="24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80"/>
        <w:jc w:val="left"/>
      </w:pPr>
      <w:r>
        <w:rPr>
          <w:rFonts w:hint="eastAsia"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四</w:t>
      </w:r>
      <w:r>
        <w:rPr>
          <w:rFonts w:ascii="宋体" w:hAnsi="宋体" w:eastAsia="宋体" w:cs="宋体"/>
          <w:b/>
          <w:bCs/>
          <w:color w:val="333333"/>
          <w:kern w:val="0"/>
          <w:sz w:val="24"/>
          <w:szCs w:val="24"/>
          <w:shd w:val="clear" w:fill="FFFFFF"/>
          <w:lang w:val="en-US" w:eastAsia="zh-CN" w:bidi="ar"/>
        </w:rPr>
        <w:t>、政府信息公开行政复议、行政诉讼情况</w:t>
      </w:r>
    </w:p>
    <w:p>
      <w:pPr>
        <w:numPr>
          <w:ilvl w:val="0"/>
          <w:numId w:val="0"/>
        </w:numPr>
        <w:rPr>
          <w:rFonts w:ascii="宋体" w:hAnsi="宋体" w:eastAsia="宋体" w:cs="宋体"/>
          <w:b/>
          <w:bCs/>
          <w:sz w:val="24"/>
          <w:szCs w:val="24"/>
        </w:rPr>
      </w:pPr>
    </w:p>
    <w:tbl>
      <w:tblPr>
        <w:tblStyle w:val="6"/>
        <w:tblW w:w="9071" w:type="dxa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599"/>
        <w:gridCol w:w="599"/>
        <w:gridCol w:w="599"/>
        <w:gridCol w:w="606"/>
        <w:gridCol w:w="600"/>
        <w:gridCol w:w="629"/>
        <w:gridCol w:w="600"/>
        <w:gridCol w:w="600"/>
        <w:gridCol w:w="618"/>
        <w:gridCol w:w="600"/>
        <w:gridCol w:w="600"/>
        <w:gridCol w:w="600"/>
        <w:gridCol w:w="607"/>
        <w:gridCol w:w="600"/>
        <w:gridCol w:w="614"/>
      </w:tblGrid>
      <w:tr>
        <w:trPr>
          <w:jc w:val="center"/>
        </w:trPr>
        <w:tc>
          <w:tcPr>
            <w:tcW w:w="3024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行政复议</w:t>
            </w:r>
          </w:p>
        </w:tc>
        <w:tc>
          <w:tcPr>
            <w:tcW w:w="6047" w:type="dxa"/>
            <w:gridSpan w:val="10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行政诉讼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07" w:type="dxa"/>
            <w:vMerge w:val="restart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结果维持</w:t>
            </w:r>
          </w:p>
        </w:tc>
        <w:tc>
          <w:tcPr>
            <w:tcW w:w="592" w:type="dxa"/>
            <w:vMerge w:val="restart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结果纠正</w:t>
            </w:r>
          </w:p>
        </w:tc>
        <w:tc>
          <w:tcPr>
            <w:tcW w:w="604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其他结果</w:t>
            </w:r>
          </w:p>
        </w:tc>
        <w:tc>
          <w:tcPr>
            <w:tcW w:w="615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尚未审结</w:t>
            </w:r>
          </w:p>
        </w:tc>
        <w:tc>
          <w:tcPr>
            <w:tcW w:w="607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总计</w:t>
            </w:r>
          </w:p>
        </w:tc>
        <w:tc>
          <w:tcPr>
            <w:tcW w:w="3042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未经复议直接起诉</w:t>
            </w:r>
          </w:p>
        </w:tc>
        <w:tc>
          <w:tcPr>
            <w:tcW w:w="3005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复议后起诉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jc w:val="center"/>
        </w:trPr>
        <w:tc>
          <w:tcPr>
            <w:tcW w:w="665" w:type="dxa"/>
            <w:vMerge w:val="continue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592" w:type="dxa"/>
            <w:vMerge w:val="continue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4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15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548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3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结果维持</w:t>
            </w:r>
          </w:p>
        </w:tc>
        <w:tc>
          <w:tcPr>
            <w:tcW w:w="59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结果纠正</w:t>
            </w:r>
          </w:p>
        </w:tc>
        <w:tc>
          <w:tcPr>
            <w:tcW w:w="5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其他结果</w:t>
            </w:r>
          </w:p>
        </w:tc>
        <w:tc>
          <w:tcPr>
            <w:tcW w:w="62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尚未审结</w:t>
            </w:r>
          </w:p>
        </w:tc>
        <w:tc>
          <w:tcPr>
            <w:tcW w:w="59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总计</w:t>
            </w:r>
          </w:p>
        </w:tc>
        <w:tc>
          <w:tcPr>
            <w:tcW w:w="58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结果维持</w:t>
            </w:r>
          </w:p>
        </w:tc>
        <w:tc>
          <w:tcPr>
            <w:tcW w:w="60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结果纠正</w:t>
            </w:r>
          </w:p>
        </w:tc>
        <w:tc>
          <w:tcPr>
            <w:tcW w:w="61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其他结果</w:t>
            </w:r>
          </w:p>
        </w:tc>
        <w:tc>
          <w:tcPr>
            <w:tcW w:w="58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</w:rPr>
              <w:t>尚未审结</w:t>
            </w:r>
          </w:p>
        </w:tc>
        <w:tc>
          <w:tcPr>
            <w:tcW w:w="62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18"/>
                <w:szCs w:val="18"/>
              </w:rPr>
              <w:t>总计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97" w:hRule="atLeast"/>
          <w:jc w:val="center"/>
        </w:trPr>
        <w:tc>
          <w:tcPr>
            <w:tcW w:w="6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18"/>
                <w:szCs w:val="18"/>
              </w:rPr>
            </w:pPr>
          </w:p>
        </w:tc>
        <w:tc>
          <w:tcPr>
            <w:tcW w:w="607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18"/>
                <w:szCs w:val="18"/>
                <w:lang w:val="en-US" w:eastAsia="zh-CN"/>
              </w:rPr>
              <w:t>0</w:t>
            </w:r>
          </w:p>
        </w:tc>
      </w:tr>
    </w:tbl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82" w:firstLineChars="200"/>
        <w:jc w:val="left"/>
      </w:pPr>
      <w:r>
        <w:rPr>
          <w:rStyle w:val="9"/>
          <w:rFonts w:ascii="宋体" w:hAnsi="宋体" w:eastAsia="宋体" w:cs="宋体"/>
          <w:kern w:val="0"/>
          <w:sz w:val="24"/>
          <w:szCs w:val="24"/>
          <w:shd w:val="clear" w:fill="FFFFFF"/>
          <w:lang w:val="en-US" w:eastAsia="zh-CN" w:bidi="ar"/>
        </w:rPr>
        <w:t>五、存在的主要问题及改进情况</w:t>
      </w:r>
      <w:r>
        <w:rPr>
          <w:rFonts w:ascii="Calibri" w:hAnsi="Calibri" w:eastAsia="宋体" w:cs="Calibri"/>
          <w:kern w:val="0"/>
          <w:sz w:val="21"/>
          <w:szCs w:val="21"/>
          <w:shd w:val="clear" w:fill="FFFFFF"/>
          <w:lang w:val="en-US" w:eastAsia="zh-CN" w:bidi="ar"/>
        </w:rPr>
        <w:t xml:space="preserve"> </w:t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 w:firstLine="480" w:firstLineChars="200"/>
        <w:jc w:val="left"/>
      </w:pPr>
      <w:r>
        <w:rPr>
          <w:rFonts w:asciiTheme="minorHAnsi" w:hAnsiTheme="minorHAnsi" w:eastAsiaTheme="minorEastAsia" w:cstheme="minorBidi"/>
          <w:kern w:val="0"/>
          <w:sz w:val="24"/>
          <w:szCs w:val="24"/>
          <w:shd w:val="clear" w:fill="FFFFFF"/>
          <w:lang w:val="en-US" w:eastAsia="zh-CN" w:bidi="ar"/>
        </w:rPr>
        <w:t xml:space="preserve">2020年，我局以习近平新时代中国特色社会主义思想为指导，深入贯彻落实县政府关于政府信息公开的工作部署，政务公开工作取得了较好成效，同时还存在一定问题，主要表现在：由于审计工作的专业性较强，申请政府信息公开的数量较少；公告格式性较强，可读性有待加强。 </w:t>
      </w:r>
      <w:r>
        <w:rPr>
          <w:rFonts w:asciiTheme="minorHAnsi" w:hAnsiTheme="minorHAnsi" w:eastAsiaTheme="minorEastAsia" w:cstheme="minorBidi"/>
          <w:kern w:val="0"/>
          <w:sz w:val="24"/>
          <w:szCs w:val="24"/>
          <w:shd w:val="clear" w:fill="FFFFFF"/>
          <w:lang w:val="en-US" w:eastAsia="zh-CN" w:bidi="ar"/>
        </w:rPr>
        <w:br w:type="textWrapping"/>
      </w:r>
      <w:r>
        <w:rPr>
          <w:rFonts w:hint="eastAsia" w:cstheme="minorBidi"/>
          <w:kern w:val="0"/>
          <w:sz w:val="24"/>
          <w:szCs w:val="24"/>
          <w:shd w:val="clear" w:fill="FFFFFF"/>
          <w:lang w:val="en-US" w:eastAsia="zh-CN" w:bidi="ar"/>
        </w:rPr>
        <w:t xml:space="preserve">   </w:t>
      </w:r>
      <w:r>
        <w:rPr>
          <w:rFonts w:asciiTheme="minorHAnsi" w:hAnsiTheme="minorHAnsi" w:eastAsiaTheme="minorEastAsia" w:cstheme="minorBidi"/>
          <w:kern w:val="0"/>
          <w:sz w:val="24"/>
          <w:szCs w:val="24"/>
          <w:shd w:val="clear" w:fill="FFFFFF"/>
          <w:lang w:val="en-US" w:eastAsia="zh-CN" w:bidi="ar"/>
        </w:rPr>
        <w:t>下一步，我局将克服困难与不足，结合本单位职能，继续提高审计公开工作效能。一是进一步加大信息公开力度，尤其是审计重点领域信息公开力度。二是进一步加强政策解读信息发布。在做好本级政策文件解读相关信息发布的基础上，不断丰富解读的形式、方式和内容。三是主动及时向社会群众公开热点信息，创新公开方式方法，提升政务公开水平和工作成效。</w:t>
      </w:r>
    </w:p>
    <w:p>
      <w:pPr>
        <w:ind w:firstLine="480" w:firstLineChars="200"/>
        <w:rPr>
          <w:rFonts w:ascii="宋体" w:hAnsi="宋体" w:eastAsia="宋体" w:cs="宋体"/>
          <w:sz w:val="24"/>
          <w:szCs w:val="24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 w:firstLine="482" w:firstLineChars="200"/>
        <w:jc w:val="left"/>
        <w:textAlignment w:val="top"/>
      </w:pPr>
      <w:r>
        <w:rPr>
          <w:rStyle w:val="9"/>
          <w:rFonts w:ascii="宋体" w:hAnsi="宋体" w:eastAsia="宋体" w:cs="宋体"/>
          <w:b/>
          <w:bCs/>
          <w:color w:val="394351"/>
          <w:kern w:val="0"/>
          <w:sz w:val="24"/>
          <w:szCs w:val="24"/>
          <w:shd w:val="clear" w:fill="FFFFFF"/>
          <w:lang w:val="en-US" w:eastAsia="zh-CN" w:bidi="ar"/>
        </w:rPr>
        <w:t>六、其他需要报告的事项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 w:firstLine="482" w:firstLineChars="200"/>
        <w:jc w:val="left"/>
        <w:textAlignment w:val="top"/>
        <w:rPr>
          <w:rFonts w:ascii="宋体" w:hAnsi="宋体" w:eastAsia="宋体" w:cs="宋体"/>
          <w:b/>
          <w:bCs/>
          <w:color w:val="394351"/>
          <w:kern w:val="0"/>
          <w:sz w:val="24"/>
          <w:szCs w:val="24"/>
          <w:shd w:val="clear" w:fill="FFFFFF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315" w:lineRule="atLeast"/>
        <w:ind w:left="0" w:right="0" w:firstLine="482" w:firstLineChars="200"/>
        <w:jc w:val="left"/>
        <w:textAlignment w:val="top"/>
      </w:pPr>
      <w:r>
        <w:rPr>
          <w:rFonts w:ascii="宋体" w:hAnsi="宋体" w:eastAsia="宋体" w:cs="宋体"/>
          <w:b/>
          <w:bCs/>
          <w:color w:val="394351"/>
          <w:kern w:val="0"/>
          <w:sz w:val="24"/>
          <w:szCs w:val="24"/>
          <w:shd w:val="clear" w:fill="FFFFFF"/>
          <w:lang w:val="en-US" w:eastAsia="zh-CN" w:bidi="ar"/>
        </w:rPr>
        <w:t>抚松县审计局无其他需要报告的事项</w:t>
      </w: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right"/>
        <w:rPr>
          <w:rFonts w:ascii="宋体" w:hAnsi="宋体" w:eastAsia="宋体" w:cs="宋体"/>
          <w:sz w:val="24"/>
          <w:szCs w:val="24"/>
        </w:rPr>
      </w:pPr>
    </w:p>
    <w:p>
      <w:pPr>
        <w:ind w:firstLine="480" w:firstLineChars="200"/>
        <w:jc w:val="center"/>
        <w:rPr>
          <w:rFonts w:hint="eastAsia" w:ascii="宋体" w:hAnsi="宋体" w:eastAsia="宋体" w:cs="宋体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                                                  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抚松县审计局</w:t>
      </w:r>
    </w:p>
    <w:p>
      <w:pPr>
        <w:ind w:firstLine="480" w:firstLineChars="200"/>
        <w:jc w:val="right"/>
        <w:rPr>
          <w:rFonts w:hint="default" w:ascii="宋体" w:hAnsi="宋体" w:eastAsia="宋体" w:cs="宋体"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lang w:val="en-US" w:eastAsia="zh-CN"/>
        </w:rPr>
        <w:t xml:space="preserve">   2021年12月23日</w:t>
      </w:r>
    </w:p>
    <w:sectPr>
      <w:footerReference r:id="rId3" w:type="default"/>
      <w:pgSz w:w="11906" w:h="16838"/>
      <w:pgMar w:top="1440" w:right="1418" w:bottom="1134" w:left="141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676919734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04075A3"/>
    <w:multiLevelType w:val="singleLevel"/>
    <w:tmpl w:val="704075A3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669"/>
    <w:rsid w:val="000429A0"/>
    <w:rsid w:val="00096DC5"/>
    <w:rsid w:val="000A26C7"/>
    <w:rsid w:val="000B03EF"/>
    <w:rsid w:val="000C1993"/>
    <w:rsid w:val="000C67C0"/>
    <w:rsid w:val="000E0C5E"/>
    <w:rsid w:val="000E192A"/>
    <w:rsid w:val="000F054B"/>
    <w:rsid w:val="000F6CBB"/>
    <w:rsid w:val="00114B99"/>
    <w:rsid w:val="00155746"/>
    <w:rsid w:val="00160AE1"/>
    <w:rsid w:val="00191C02"/>
    <w:rsid w:val="001D4047"/>
    <w:rsid w:val="002103ED"/>
    <w:rsid w:val="002139CE"/>
    <w:rsid w:val="00262B9B"/>
    <w:rsid w:val="00300E1E"/>
    <w:rsid w:val="00336CF7"/>
    <w:rsid w:val="00344258"/>
    <w:rsid w:val="0035451E"/>
    <w:rsid w:val="003D3B92"/>
    <w:rsid w:val="003E711E"/>
    <w:rsid w:val="00416D51"/>
    <w:rsid w:val="004253CE"/>
    <w:rsid w:val="004967D0"/>
    <w:rsid w:val="004D73DA"/>
    <w:rsid w:val="004E4B70"/>
    <w:rsid w:val="00504BDA"/>
    <w:rsid w:val="00515455"/>
    <w:rsid w:val="00585A9C"/>
    <w:rsid w:val="00594038"/>
    <w:rsid w:val="005C606B"/>
    <w:rsid w:val="005D128B"/>
    <w:rsid w:val="00634E91"/>
    <w:rsid w:val="00666084"/>
    <w:rsid w:val="00667371"/>
    <w:rsid w:val="007178F5"/>
    <w:rsid w:val="00732470"/>
    <w:rsid w:val="00782C19"/>
    <w:rsid w:val="007B17B1"/>
    <w:rsid w:val="007B5621"/>
    <w:rsid w:val="007B6DE2"/>
    <w:rsid w:val="0080399C"/>
    <w:rsid w:val="00822540"/>
    <w:rsid w:val="00831E99"/>
    <w:rsid w:val="00844529"/>
    <w:rsid w:val="0084463A"/>
    <w:rsid w:val="00864104"/>
    <w:rsid w:val="00866A45"/>
    <w:rsid w:val="00882FCE"/>
    <w:rsid w:val="00887377"/>
    <w:rsid w:val="008C4B26"/>
    <w:rsid w:val="00915401"/>
    <w:rsid w:val="00941A7B"/>
    <w:rsid w:val="009458D3"/>
    <w:rsid w:val="009601BA"/>
    <w:rsid w:val="009737BC"/>
    <w:rsid w:val="009E0E6F"/>
    <w:rsid w:val="00A04FB9"/>
    <w:rsid w:val="00A45231"/>
    <w:rsid w:val="00A7351A"/>
    <w:rsid w:val="00A76BD9"/>
    <w:rsid w:val="00A771E0"/>
    <w:rsid w:val="00AD6863"/>
    <w:rsid w:val="00B16D57"/>
    <w:rsid w:val="00B34B60"/>
    <w:rsid w:val="00B50AB5"/>
    <w:rsid w:val="00B751E4"/>
    <w:rsid w:val="00B83021"/>
    <w:rsid w:val="00B86BEF"/>
    <w:rsid w:val="00B93336"/>
    <w:rsid w:val="00BC6098"/>
    <w:rsid w:val="00C834FE"/>
    <w:rsid w:val="00CD1012"/>
    <w:rsid w:val="00CF3763"/>
    <w:rsid w:val="00D72931"/>
    <w:rsid w:val="00DC3320"/>
    <w:rsid w:val="00DF0BB0"/>
    <w:rsid w:val="00E05F91"/>
    <w:rsid w:val="00E1093B"/>
    <w:rsid w:val="00E1401D"/>
    <w:rsid w:val="00E40A4D"/>
    <w:rsid w:val="00E73B0E"/>
    <w:rsid w:val="00EA0B0A"/>
    <w:rsid w:val="00EB1AAF"/>
    <w:rsid w:val="00EB486F"/>
    <w:rsid w:val="00EC161F"/>
    <w:rsid w:val="00EC335E"/>
    <w:rsid w:val="00EE4669"/>
    <w:rsid w:val="00EE507F"/>
    <w:rsid w:val="00EF5CFE"/>
    <w:rsid w:val="00F46632"/>
    <w:rsid w:val="00F56DF8"/>
    <w:rsid w:val="00FF4EA9"/>
    <w:rsid w:val="01C74C41"/>
    <w:rsid w:val="03615DE6"/>
    <w:rsid w:val="04B70161"/>
    <w:rsid w:val="05066EA2"/>
    <w:rsid w:val="054A256E"/>
    <w:rsid w:val="06A434A5"/>
    <w:rsid w:val="0AC4028D"/>
    <w:rsid w:val="0B924A77"/>
    <w:rsid w:val="0D1C7438"/>
    <w:rsid w:val="0D9A07CB"/>
    <w:rsid w:val="0EF95E3E"/>
    <w:rsid w:val="0F841BAC"/>
    <w:rsid w:val="0FFF2C05"/>
    <w:rsid w:val="101A7A9C"/>
    <w:rsid w:val="10D94ED9"/>
    <w:rsid w:val="12AB7BEB"/>
    <w:rsid w:val="13916BB7"/>
    <w:rsid w:val="16F67B0A"/>
    <w:rsid w:val="18DE0B8B"/>
    <w:rsid w:val="19F54F8E"/>
    <w:rsid w:val="1BF24C7D"/>
    <w:rsid w:val="1D326A70"/>
    <w:rsid w:val="1EF47C7F"/>
    <w:rsid w:val="1F4E26E0"/>
    <w:rsid w:val="21463587"/>
    <w:rsid w:val="243F343F"/>
    <w:rsid w:val="28975D5D"/>
    <w:rsid w:val="2AFE7BEA"/>
    <w:rsid w:val="2B25609B"/>
    <w:rsid w:val="2BC71311"/>
    <w:rsid w:val="2F1232C3"/>
    <w:rsid w:val="2F560859"/>
    <w:rsid w:val="2F56299D"/>
    <w:rsid w:val="2F933B8C"/>
    <w:rsid w:val="31C902D1"/>
    <w:rsid w:val="345E7490"/>
    <w:rsid w:val="34707FB0"/>
    <w:rsid w:val="36781544"/>
    <w:rsid w:val="371D10E5"/>
    <w:rsid w:val="38FD2077"/>
    <w:rsid w:val="393E5745"/>
    <w:rsid w:val="3B281EB3"/>
    <w:rsid w:val="3B291E3A"/>
    <w:rsid w:val="3BA453BA"/>
    <w:rsid w:val="3E620C74"/>
    <w:rsid w:val="3ED76D58"/>
    <w:rsid w:val="400E44FB"/>
    <w:rsid w:val="41D16C02"/>
    <w:rsid w:val="450C3AC5"/>
    <w:rsid w:val="45333C19"/>
    <w:rsid w:val="45801017"/>
    <w:rsid w:val="49181DCF"/>
    <w:rsid w:val="492A6A34"/>
    <w:rsid w:val="4A02676F"/>
    <w:rsid w:val="4BCC7E94"/>
    <w:rsid w:val="4D5301FB"/>
    <w:rsid w:val="4DBB63A0"/>
    <w:rsid w:val="4FAE66AC"/>
    <w:rsid w:val="51D907C9"/>
    <w:rsid w:val="522A1187"/>
    <w:rsid w:val="524F43BC"/>
    <w:rsid w:val="532A236B"/>
    <w:rsid w:val="56B07488"/>
    <w:rsid w:val="592605B1"/>
    <w:rsid w:val="59CF4E9D"/>
    <w:rsid w:val="5B51267D"/>
    <w:rsid w:val="5C760D5E"/>
    <w:rsid w:val="5D5C0885"/>
    <w:rsid w:val="608B5AEC"/>
    <w:rsid w:val="60C72177"/>
    <w:rsid w:val="61382CF4"/>
    <w:rsid w:val="663C01D2"/>
    <w:rsid w:val="669B2BD8"/>
    <w:rsid w:val="66EF5667"/>
    <w:rsid w:val="68EE3DB7"/>
    <w:rsid w:val="69895E31"/>
    <w:rsid w:val="69912B2A"/>
    <w:rsid w:val="6DA66DF4"/>
    <w:rsid w:val="6F0E25FB"/>
    <w:rsid w:val="6F9D3BB3"/>
    <w:rsid w:val="6FB026B2"/>
    <w:rsid w:val="70900DB0"/>
    <w:rsid w:val="70E7254E"/>
    <w:rsid w:val="71917722"/>
    <w:rsid w:val="72117322"/>
    <w:rsid w:val="72544ACF"/>
    <w:rsid w:val="72B0307D"/>
    <w:rsid w:val="72F22421"/>
    <w:rsid w:val="739A1583"/>
    <w:rsid w:val="74484734"/>
    <w:rsid w:val="76FF3D11"/>
    <w:rsid w:val="774B1F49"/>
    <w:rsid w:val="792539DA"/>
    <w:rsid w:val="79F53FD4"/>
    <w:rsid w:val="7C805C6D"/>
    <w:rsid w:val="7D5102A0"/>
    <w:rsid w:val="7FB82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basedOn w:val="8"/>
    <w:qFormat/>
    <w:uiPriority w:val="22"/>
    <w:rPr>
      <w:b/>
    </w:rPr>
  </w:style>
  <w:style w:type="character" w:styleId="10">
    <w:name w:val="FollowedHyperlink"/>
    <w:basedOn w:val="8"/>
    <w:semiHidden/>
    <w:unhideWhenUsed/>
    <w:uiPriority w:val="99"/>
    <w:rPr>
      <w:color w:val="333333"/>
      <w:u w:val="none"/>
    </w:rPr>
  </w:style>
  <w:style w:type="character" w:styleId="11">
    <w:name w:val="Hyperlink"/>
    <w:basedOn w:val="8"/>
    <w:semiHidden/>
    <w:unhideWhenUsed/>
    <w:uiPriority w:val="99"/>
    <w:rPr>
      <w:color w:val="333333"/>
      <w:u w:val="none"/>
    </w:rPr>
  </w:style>
  <w:style w:type="character" w:customStyle="1" w:styleId="12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3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4">
    <w:name w:val="批注框文本 Char"/>
    <w:basedOn w:val="8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214</Words>
  <Characters>1226</Characters>
  <Lines>10</Lines>
  <Paragraphs>2</Paragraphs>
  <TotalTime>61</TotalTime>
  <ScaleCrop>false</ScaleCrop>
  <LinksUpToDate>false</LinksUpToDate>
  <CharactersWithSpaces>1438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2021-01-09T06:07:00Z</dcterms:created>
  <dc:creator>lenovo</dc:creator>
  <cp:lastModifiedBy>AnJing</cp:lastModifiedBy>
  <cp:lastPrinted>2021-01-14T07:20:00Z</cp:lastPrinted>
  <dcterms:modified xsi:type="dcterms:W3CDTF">2022-02-24T02:27:45Z</dcterms:modified>
  <cp:revision>76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72B86C7C0F3542DA86CB20B540B23741</vt:lpwstr>
  </property>
</Properties>
</file>