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spacing w:line="700" w:lineRule="exact"/>
        <w:rPr>
          <w:rFonts w:ascii="文星标宋" w:hAnsi="文星标宋" w:eastAsia="文星标宋"/>
          <w:sz w:val="44"/>
          <w:szCs w:val="44"/>
        </w:rPr>
      </w:pPr>
    </w:p>
    <w:p>
      <w:pPr>
        <w:spacing w:line="700" w:lineRule="exact"/>
        <w:jc w:val="center"/>
        <w:rPr>
          <w:rFonts w:ascii="文星标宋" w:hAnsi="文星标宋" w:eastAsia="文星标宋"/>
          <w:sz w:val="44"/>
          <w:szCs w:val="44"/>
        </w:rPr>
      </w:pPr>
      <w:r>
        <w:rPr>
          <w:rFonts w:hint="eastAsia" w:ascii="文星标宋" w:hAnsi="文星标宋" w:eastAsia="文星标宋"/>
          <w:sz w:val="44"/>
          <w:szCs w:val="44"/>
        </w:rPr>
        <w:t>政府信息公开工作年度报告编制指引</w:t>
      </w:r>
    </w:p>
    <w:p>
      <w:pPr>
        <w:rPr>
          <w:rFonts w:ascii="仿宋_GB2312" w:eastAsia="仿宋_GB2312"/>
          <w:sz w:val="32"/>
          <w:szCs w:val="32"/>
        </w:rPr>
      </w:pPr>
    </w:p>
    <w:p>
      <w:pPr>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一、报告内容</w:t>
      </w:r>
    </w:p>
    <w:p>
      <w:pPr>
        <w:ind w:firstLine="640" w:firstLineChars="200"/>
        <w:rPr>
          <w:rFonts w:ascii="仿宋_GB2312" w:eastAsia="仿宋_GB2312"/>
          <w:sz w:val="32"/>
          <w:szCs w:val="32"/>
        </w:rPr>
      </w:pPr>
      <w:r>
        <w:rPr>
          <w:rFonts w:hint="eastAsia" w:ascii="仿宋_GB2312" w:eastAsia="仿宋_GB2312"/>
          <w:sz w:val="32"/>
          <w:szCs w:val="32"/>
        </w:rPr>
        <w:t>政府信息公开工作年度报告内容，要严格按照《条例》第五十条的规定确定，不能遗漏，也不宜泛化。</w:t>
      </w:r>
    </w:p>
    <w:p>
      <w:pPr>
        <w:ind w:firstLine="640" w:firstLineChars="200"/>
        <w:rPr>
          <w:rFonts w:ascii="楷体" w:hAnsi="楷体" w:eastAsia="楷体"/>
          <w:sz w:val="32"/>
          <w:szCs w:val="32"/>
        </w:rPr>
      </w:pPr>
      <w:r>
        <w:rPr>
          <w:rFonts w:hint="eastAsia" w:ascii="楷体" w:hAnsi="楷体" w:eastAsia="楷体"/>
          <w:sz w:val="32"/>
          <w:szCs w:val="32"/>
        </w:rPr>
        <w:t>（一）总体情况。</w:t>
      </w:r>
      <w:r>
        <w:rPr>
          <w:rFonts w:hint="eastAsia" w:ascii="仿宋_GB2312" w:eastAsia="仿宋_GB2312"/>
          <w:sz w:val="32"/>
          <w:szCs w:val="32"/>
        </w:rPr>
        <w:t>这一项主要报告本机关2020年度政府信息公开工作总体情况，重在聚焦主题主线，对本机关贯彻落实《条例》情况进行综述，主要包括主动公开、依申请公开、政府信息管理、平台建设、监督保障（含《条例》第五十条第四项规定的各级人民政府“工作考核、社会评议和责任追究结果情况”）等方面。此外，按照</w:t>
      </w:r>
      <w:r>
        <w:rPr>
          <w:rFonts w:hint="eastAsia" w:ascii="仿宋_GB2312" w:eastAsia="仿宋_GB2312"/>
          <w:sz w:val="32"/>
          <w:szCs w:val="32"/>
          <w:lang w:eastAsia="zh-CN"/>
        </w:rPr>
        <w:t>抚松县</w:t>
      </w:r>
      <w:r>
        <w:rPr>
          <w:rFonts w:hint="eastAsia" w:ascii="仿宋_GB2312" w:eastAsia="仿宋_GB2312"/>
          <w:sz w:val="32"/>
          <w:szCs w:val="32"/>
        </w:rPr>
        <w:t>政务公开领导小组关于印发</w:t>
      </w:r>
      <w:r>
        <w:rPr>
          <w:rFonts w:hint="eastAsia" w:ascii="仿宋_GB2312" w:eastAsia="仿宋_GB2312"/>
          <w:sz w:val="32"/>
          <w:szCs w:val="32"/>
          <w:lang w:eastAsia="zh-CN"/>
        </w:rPr>
        <w:t>《抚松县</w:t>
      </w:r>
      <w:r>
        <w:rPr>
          <w:rFonts w:hint="eastAsia" w:ascii="仿宋_GB2312" w:eastAsia="仿宋_GB2312"/>
          <w:sz w:val="32"/>
          <w:szCs w:val="32"/>
        </w:rPr>
        <w:t>2020年政务公开</w:t>
      </w:r>
      <w:r>
        <w:rPr>
          <w:rFonts w:hint="eastAsia" w:ascii="仿宋_GB2312" w:eastAsia="仿宋_GB2312"/>
          <w:sz w:val="32"/>
          <w:szCs w:val="32"/>
          <w:lang w:eastAsia="zh-CN"/>
        </w:rPr>
        <w:t>工作</w:t>
      </w:r>
      <w:r>
        <w:rPr>
          <w:rFonts w:hint="eastAsia" w:ascii="仿宋_GB2312" w:eastAsia="仿宋_GB2312"/>
          <w:sz w:val="32"/>
          <w:szCs w:val="32"/>
        </w:rPr>
        <w:t>要点及重点任务分工〉的通知</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eastAsia="zh-CN"/>
        </w:rPr>
        <w:t>抚</w:t>
      </w:r>
      <w:r>
        <w:rPr>
          <w:rFonts w:hint="eastAsia" w:ascii="仿宋_GB2312" w:eastAsia="仿宋_GB2312"/>
          <w:sz w:val="32"/>
          <w:szCs w:val="32"/>
        </w:rPr>
        <w:t>政公</w:t>
      </w:r>
      <w:r>
        <w:rPr>
          <w:rFonts w:hint="eastAsia" w:ascii="仿宋_GB2312" w:eastAsia="仿宋_GB2312"/>
          <w:sz w:val="32"/>
          <w:szCs w:val="32"/>
          <w:lang w:eastAsia="zh-CN"/>
        </w:rPr>
        <w:t>办</w:t>
      </w:r>
      <w:r>
        <w:rPr>
          <w:rFonts w:hint="eastAsia" w:ascii="仿宋_GB2312" w:eastAsia="仿宋_GB2312"/>
          <w:sz w:val="32"/>
          <w:szCs w:val="32"/>
        </w:rPr>
        <w:t>〔2020〕</w:t>
      </w:r>
      <w:r>
        <w:rPr>
          <w:rFonts w:hint="eastAsia" w:ascii="仿宋_GB2312" w:eastAsia="仿宋_GB2312"/>
          <w:sz w:val="32"/>
          <w:szCs w:val="32"/>
          <w:lang w:val="en-US" w:eastAsia="zh-CN"/>
        </w:rPr>
        <w:t>9</w:t>
      </w:r>
      <w:r>
        <w:rPr>
          <w:rFonts w:hint="eastAsia" w:ascii="仿宋_GB2312" w:eastAsia="仿宋_GB2312"/>
          <w:sz w:val="32"/>
          <w:szCs w:val="32"/>
        </w:rPr>
        <w:t>号）文件精神，</w:t>
      </w:r>
      <w:bookmarkStart w:id="0" w:name="_GoBack"/>
      <w:bookmarkEnd w:id="0"/>
      <w:r>
        <w:rPr>
          <w:rFonts w:hint="eastAsia" w:ascii="仿宋_GB2312" w:eastAsia="仿宋_GB2312"/>
          <w:sz w:val="32"/>
          <w:szCs w:val="32"/>
        </w:rPr>
        <w:t>各部门在起草政府信息公开年度报告时，要对照任务分工将年度贯彻落实政务公开工作要点的情况纳入这一部分，主动接受社会监督。</w:t>
      </w:r>
    </w:p>
    <w:p>
      <w:pPr>
        <w:ind w:firstLine="640" w:firstLineChars="200"/>
        <w:rPr>
          <w:rFonts w:ascii="仿宋_GB2312" w:eastAsia="仿宋_GB2312"/>
          <w:sz w:val="32"/>
          <w:szCs w:val="32"/>
        </w:rPr>
      </w:pPr>
      <w:r>
        <w:rPr>
          <w:rFonts w:hint="eastAsia" w:ascii="楷体" w:hAnsi="楷体" w:eastAsia="楷体"/>
          <w:sz w:val="32"/>
          <w:szCs w:val="32"/>
        </w:rPr>
        <w:t>（二）行政机关主动公开政府信息情况。</w:t>
      </w:r>
      <w:r>
        <w:rPr>
          <w:rFonts w:hint="eastAsia" w:ascii="仿宋_GB2312" w:eastAsia="仿宋_GB2312"/>
          <w:sz w:val="32"/>
          <w:szCs w:val="32"/>
        </w:rPr>
        <w:t>这一项主要报告《条例》第二十条规定的法定主动公开内容中，适宜以数据方式呈现且具备统计汇总价值的内容，包括（一）（五）（六）（八）（九）共五项。其他法定主动公开内容的公开情况，在“总体情况”部分综合体现。要突出重点，注重用数据反映情况，将人民群众较为关注、对社会影响较大的政府信息主动公开情况进行报告。在此基础上，进一步反映本机关制发文件、开展行政执法活动等重要工作开展情况，更好发挥政府信息公开制度功能。</w:t>
      </w:r>
    </w:p>
    <w:p>
      <w:pPr>
        <w:ind w:firstLine="640" w:firstLineChars="200"/>
        <w:rPr>
          <w:rFonts w:ascii="楷体" w:hAnsi="楷体" w:eastAsia="楷体"/>
          <w:sz w:val="32"/>
          <w:szCs w:val="32"/>
        </w:rPr>
      </w:pPr>
      <w:r>
        <w:rPr>
          <w:rFonts w:hint="eastAsia" w:ascii="楷体" w:hAnsi="楷体" w:eastAsia="楷体"/>
          <w:sz w:val="32"/>
          <w:szCs w:val="32"/>
        </w:rPr>
        <w:t>（三）行政机关收到和处理政府信息公开申请情况。</w:t>
      </w:r>
      <w:r>
        <w:rPr>
          <w:rFonts w:hint="eastAsia" w:ascii="仿宋_GB2312" w:eastAsia="仿宋_GB2312"/>
          <w:sz w:val="32"/>
          <w:szCs w:val="32"/>
        </w:rPr>
        <w:t>这一项主要报告两方面情况：一是申请人的类别；二是政府信息公开申请的最终处理结果。此项内容重在数据准确、要素齐备，全面客观反映政府信息公开申请接收和办理情况，便于政府信息公开工作主管部门全面掌握工作动态，使社会各界了解政府公开透明进程。</w:t>
      </w:r>
    </w:p>
    <w:p>
      <w:pPr>
        <w:ind w:firstLine="640" w:firstLineChars="200"/>
        <w:rPr>
          <w:rFonts w:ascii="仿宋_GB2312" w:eastAsia="仿宋_GB2312"/>
          <w:sz w:val="32"/>
          <w:szCs w:val="32"/>
        </w:rPr>
      </w:pPr>
      <w:r>
        <w:rPr>
          <w:rFonts w:hint="eastAsia" w:ascii="仿宋_GB2312" w:eastAsia="仿宋_GB2312"/>
          <w:sz w:val="32"/>
          <w:szCs w:val="32"/>
        </w:rPr>
        <w:t>需要说明的是，行政机关处理政府信息公开申请的情况中，设置了“其他处理”项目，原则上，所有的政府信息公开申请，都应当按照法定的处理方式做出处理。各政府信息公开工作主管部门要高度关注这一项目的数据，对“其他处理”数量偏高的行政机关，要了解情况，及时发现并解决相关问题。</w:t>
      </w:r>
    </w:p>
    <w:p>
      <w:pPr>
        <w:ind w:firstLine="640" w:firstLineChars="200"/>
        <w:rPr>
          <w:rFonts w:ascii="楷体" w:hAnsi="楷体" w:eastAsia="楷体"/>
          <w:sz w:val="32"/>
          <w:szCs w:val="32"/>
        </w:rPr>
      </w:pPr>
      <w:r>
        <w:rPr>
          <w:rFonts w:hint="eastAsia" w:ascii="楷体" w:hAnsi="楷体" w:eastAsia="楷体"/>
          <w:sz w:val="32"/>
          <w:szCs w:val="32"/>
        </w:rPr>
        <w:t>（四）因政府信息公开工作被申请行政复议、提起行政诉讼情况。</w:t>
      </w:r>
      <w:r>
        <w:rPr>
          <w:rFonts w:hint="eastAsia" w:ascii="仿宋_GB2312" w:eastAsia="仿宋_GB2312"/>
          <w:sz w:val="32"/>
          <w:szCs w:val="32"/>
        </w:rPr>
        <w:t>这一项主要报告两方面情况：一是政府信息公开行政复议处理结果情况；二是政府信息公开行政诉讼处理结果情况。根据行政复议法和行政诉讼法有关规定，行政诉讼处理结果需进一步区分两类情形，分别是“未经复议直接起诉”和“复议后起诉”。</w:t>
      </w:r>
    </w:p>
    <w:p>
      <w:pPr>
        <w:rPr>
          <w:rFonts w:ascii="仿宋_GB2312" w:eastAsia="仿宋_GB2312"/>
          <w:sz w:val="32"/>
          <w:szCs w:val="32"/>
        </w:rPr>
      </w:pPr>
      <w:r>
        <w:rPr>
          <w:rFonts w:hint="eastAsia" w:ascii="仿宋_GB2312" w:eastAsia="仿宋_GB2312"/>
          <w:sz w:val="32"/>
          <w:szCs w:val="32"/>
        </w:rPr>
        <w:t>行政复议机关作为共同被告的行政诉讼案件，只计算原行为主体的案件数量，不计算行政复议机关的案件数量。</w:t>
      </w:r>
    </w:p>
    <w:p>
      <w:pPr>
        <w:ind w:firstLine="640" w:firstLineChars="200"/>
        <w:rPr>
          <w:rFonts w:ascii="仿宋_GB2312" w:eastAsia="仿宋_GB2312"/>
          <w:sz w:val="32"/>
          <w:szCs w:val="32"/>
        </w:rPr>
      </w:pPr>
      <w:r>
        <w:rPr>
          <w:rFonts w:hint="eastAsia" w:ascii="楷体" w:hAnsi="楷体" w:eastAsia="楷体"/>
          <w:sz w:val="32"/>
          <w:szCs w:val="32"/>
        </w:rPr>
        <w:t>（五）政府信息公开工作存在的主要问题及改进情况。</w:t>
      </w:r>
      <w:r>
        <w:rPr>
          <w:rFonts w:hint="eastAsia" w:ascii="仿宋_GB2312" w:eastAsia="仿宋_GB2312"/>
          <w:sz w:val="32"/>
          <w:szCs w:val="32"/>
        </w:rPr>
        <w:t>这一项主要报告本机关2020年度政府信息公开工作中存在的主要问题及改进情况。此项内容重在实事求是、明确具体，避免笼统模糊、泛泛而谈。查找问题要有针对性，改进举措要有实效性，特别是不得出现敷衍了事甚至年年雷同的现象。</w:t>
      </w:r>
    </w:p>
    <w:p>
      <w:pPr>
        <w:ind w:firstLine="640" w:firstLineChars="200"/>
        <w:rPr>
          <w:rFonts w:ascii="仿宋_GB2312" w:eastAsia="仿宋_GB2312"/>
          <w:sz w:val="32"/>
          <w:szCs w:val="32"/>
        </w:rPr>
      </w:pPr>
      <w:r>
        <w:rPr>
          <w:rFonts w:hint="eastAsia" w:ascii="楷体" w:hAnsi="楷体" w:eastAsia="楷体"/>
          <w:sz w:val="32"/>
          <w:szCs w:val="32"/>
        </w:rPr>
        <w:t>（六）其他需要报告的事项。</w:t>
      </w:r>
      <w:r>
        <w:rPr>
          <w:rFonts w:hint="eastAsia" w:ascii="仿宋_GB2312" w:eastAsia="仿宋_GB2312"/>
          <w:sz w:val="32"/>
          <w:szCs w:val="32"/>
        </w:rPr>
        <w:t>这一项主要报告本机关认为需要报告的其他事项，以及其他有关文件专门要求通过政府信息公开工作年度报告予以报告的事项。</w:t>
      </w:r>
    </w:p>
    <w:p>
      <w:pPr>
        <w:ind w:firstLine="640" w:firstLineChars="200"/>
        <w:rPr>
          <w:rFonts w:ascii="仿宋_GB2312" w:eastAsia="仿宋_GB2312"/>
          <w:sz w:val="32"/>
          <w:szCs w:val="32"/>
        </w:rPr>
      </w:pPr>
      <w:r>
        <w:rPr>
          <w:rFonts w:hint="eastAsia" w:ascii="仿宋_GB2312" w:eastAsia="仿宋_GB2312"/>
          <w:sz w:val="32"/>
          <w:szCs w:val="32"/>
        </w:rPr>
        <w:t>各行政机关政府信息公开工作年度报告应当按照统一格式起草，模板见附件1。</w:t>
      </w:r>
    </w:p>
    <w:p>
      <w:pPr>
        <w:ind w:firstLine="640" w:firstLineChars="200"/>
        <w:rPr>
          <w:rFonts w:ascii="仿宋_GB2312" w:eastAsia="仿宋_GB2312"/>
          <w:sz w:val="32"/>
          <w:szCs w:val="32"/>
        </w:rPr>
      </w:pPr>
      <w:r>
        <w:rPr>
          <w:rFonts w:hint="eastAsia" w:ascii="仿宋_GB2312" w:eastAsia="仿宋_GB2312"/>
          <w:sz w:val="32"/>
          <w:szCs w:val="32"/>
        </w:rPr>
        <w:t>党的工作机关加挂行政机关牌子的单位，按照国务院政府信息公开工作主管部门要求，需要按《条例》规定起草公开本单位政府信息公开工作年度报告，报告参照统一模板起草。</w:t>
      </w:r>
    </w:p>
    <w:p>
      <w:pPr>
        <w:ind w:firstLine="640" w:firstLineChars="2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、工作要求</w:t>
      </w:r>
    </w:p>
    <w:p>
      <w:pPr>
        <w:ind w:firstLine="480" w:firstLineChars="150"/>
        <w:rPr>
          <w:rFonts w:ascii="仿宋_GB2312" w:eastAsia="仿宋_GB2312"/>
          <w:sz w:val="32"/>
          <w:szCs w:val="32"/>
        </w:rPr>
      </w:pPr>
      <w:r>
        <w:rPr>
          <w:rFonts w:hint="eastAsia" w:ascii="楷体" w:hAnsi="楷体" w:eastAsia="楷体"/>
          <w:sz w:val="32"/>
          <w:szCs w:val="32"/>
        </w:rPr>
        <w:t>（一）强化领导。</w:t>
      </w:r>
      <w:r>
        <w:rPr>
          <w:rFonts w:hint="eastAsia" w:ascii="仿宋_GB2312" w:eastAsia="仿宋_GB2312"/>
          <w:sz w:val="32"/>
          <w:szCs w:val="32"/>
        </w:rPr>
        <w:t>政府信息公开工作年度报告的内容，涵盖行政机关日常工作诸多方面，是从政府信息公开角度对本机关工作的一次系统梳理和全面报告。要有针对性地加强领导，确保内部协调有力，相关情况和数据做到应报尽报，全面准确。各政府信息公开工作主管部门要加强指导，把政府信息公开工作年度报告编报列入业务培训内容。要充分考虑政府信息公开工作年度报告的专业性，配强工作力量，确保工作质量。</w:t>
      </w:r>
    </w:p>
    <w:p>
      <w:pPr>
        <w:ind w:firstLine="480" w:firstLineChars="150"/>
        <w:rPr>
          <w:rFonts w:ascii="仿宋_GB2312" w:eastAsia="仿宋_GB2312"/>
          <w:sz w:val="32"/>
          <w:szCs w:val="32"/>
        </w:rPr>
      </w:pPr>
      <w:r>
        <w:rPr>
          <w:rFonts w:hint="eastAsia" w:ascii="楷体" w:hAnsi="楷体" w:eastAsia="楷体"/>
          <w:sz w:val="32"/>
          <w:szCs w:val="32"/>
        </w:rPr>
        <w:t>（二）注重基础。</w:t>
      </w:r>
      <w:r>
        <w:rPr>
          <w:rFonts w:hint="eastAsia" w:ascii="仿宋_GB2312" w:eastAsia="仿宋_GB2312"/>
          <w:sz w:val="32"/>
          <w:szCs w:val="32"/>
        </w:rPr>
        <w:t>政府信息公开工作年度报告内容，涵盖行政机关全年工作情况。各部门的政府信息公开工作机构要自觉找准政府信息管理员的角色定位，协调推动本机关各内设机构加强政府信息管理的基础工作，确保政府信息公开工作年度报告所需数据“统得出、报得准、可核查”，更好发挥政府信息公开对于政府工作的监督、规范作用。</w:t>
      </w:r>
    </w:p>
    <w:p>
      <w:pPr>
        <w:ind w:firstLine="480" w:firstLineChars="150"/>
        <w:rPr>
          <w:rFonts w:ascii="仿宋_GB2312" w:eastAsia="仿宋_GB2312"/>
          <w:sz w:val="32"/>
          <w:szCs w:val="32"/>
        </w:rPr>
      </w:pPr>
      <w:r>
        <w:rPr>
          <w:rFonts w:hint="eastAsia" w:ascii="楷体" w:hAnsi="楷体" w:eastAsia="楷体"/>
          <w:sz w:val="32"/>
          <w:szCs w:val="32"/>
        </w:rPr>
        <w:t>（三）明确责任。</w:t>
      </w:r>
      <w:r>
        <w:rPr>
          <w:rFonts w:hint="eastAsia" w:ascii="仿宋_GB2312" w:eastAsia="仿宋_GB2312"/>
          <w:sz w:val="32"/>
          <w:szCs w:val="32"/>
        </w:rPr>
        <w:t>各行政机关政府信息公开工作分管领导作为第一责任人，对政府信息公开工作年度报告承担领导责任。各机关政府信息公开工作机构是法定责任主体，要履职尽责，高质量编报政府信息公开工作年度报告。出现不按时发布、发布内容不准确不全面或者内容雷同、敷衍塞责等问题并造成不良后果的，由相应政府信息公开工作主管部门依据《条例》第四十七条规定，严肃追究负有责任的领导人员和直接责任人责任。</w:t>
      </w:r>
    </w:p>
    <w:p>
      <w:pPr>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、注意事项</w:t>
      </w:r>
    </w:p>
    <w:p>
      <w:pPr>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各地、各部门在统计填报数据时，要注意模板表格中项目之间的逻辑关系，不漏项、不串项，保证年度报告采用数据详实、准确。其中，各级政府信息公开主管部门在统计本辖区内行政许可、其他对外管理服务事项、行政处罚、行政强制、行政事业性收费的数量时，统计数字应为本辖区内各个政府年度实际确定项目的排重数，不能将辖区内各个政府填报数字进行重复叠加计算。</w:t>
      </w:r>
    </w:p>
    <w:p>
      <w:pPr>
        <w:widowControl/>
        <w:jc w:val="left"/>
        <w:rPr>
          <w:rFonts w:ascii="黑体" w:hAnsi="黑体" w:eastAsia="黑体" w:cs="宋体"/>
          <w:bCs/>
          <w:color w:val="333333"/>
          <w:kern w:val="0"/>
          <w:sz w:val="32"/>
          <w:szCs w:val="32"/>
        </w:rPr>
      </w:pPr>
      <w:r>
        <w:rPr>
          <w:rFonts w:ascii="黑体" w:hAnsi="黑体" w:eastAsia="黑体" w:cs="宋体"/>
          <w:bCs/>
          <w:color w:val="333333"/>
          <w:kern w:val="0"/>
          <w:sz w:val="32"/>
          <w:szCs w:val="32"/>
        </w:rPr>
        <w:br w:type="page"/>
      </w:r>
      <w:r>
        <w:rPr>
          <w:rFonts w:hint="eastAsia" w:ascii="黑体" w:hAnsi="黑体" w:eastAsia="黑体" w:cs="宋体"/>
          <w:bCs/>
          <w:color w:val="333333"/>
          <w:kern w:val="0"/>
          <w:sz w:val="32"/>
          <w:szCs w:val="32"/>
        </w:rPr>
        <w:t>附件1</w:t>
      </w:r>
    </w:p>
    <w:p>
      <w:pPr>
        <w:widowControl/>
        <w:shd w:val="clear" w:color="auto" w:fill="FFFFFF"/>
        <w:jc w:val="center"/>
        <w:rPr>
          <w:rFonts w:ascii="宋体" w:hAnsi="宋体" w:eastAsia="宋体" w:cs="宋体"/>
          <w:b/>
          <w:bCs/>
          <w:color w:val="333333"/>
          <w:kern w:val="0"/>
          <w:sz w:val="36"/>
          <w:szCs w:val="36"/>
        </w:rPr>
      </w:pP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政府信息公开工作年度报告（宋体加粗</w:t>
      </w:r>
      <w:r>
        <w:rPr>
          <w:rFonts w:ascii="宋体" w:hAnsi="宋体" w:eastAsia="宋体" w:cs="宋体"/>
          <w:b/>
          <w:bCs/>
          <w:color w:val="333333"/>
          <w:kern w:val="0"/>
          <w:sz w:val="36"/>
          <w:szCs w:val="36"/>
        </w:rPr>
        <w:t>小二</w:t>
      </w:r>
      <w:r>
        <w:rPr>
          <w:rFonts w:hint="eastAsia" w:ascii="宋体" w:hAnsi="宋体" w:eastAsia="宋体" w:cs="宋体"/>
          <w:b/>
          <w:bCs/>
          <w:color w:val="333333"/>
          <w:kern w:val="0"/>
          <w:sz w:val="36"/>
          <w:szCs w:val="36"/>
        </w:rPr>
        <w:t>）</w:t>
      </w:r>
    </w:p>
    <w:p>
      <w:pPr>
        <w:widowControl/>
        <w:shd w:val="clear" w:color="auto" w:fill="FFFFFF"/>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一、总体情况（宋体</w:t>
      </w:r>
      <w:r>
        <w:rPr>
          <w:rFonts w:ascii="宋体" w:hAnsi="宋体" w:eastAsia="宋体" w:cs="宋体"/>
          <w:b/>
          <w:bCs/>
          <w:color w:val="333333"/>
          <w:kern w:val="0"/>
          <w:sz w:val="24"/>
          <w:szCs w:val="24"/>
        </w:rPr>
        <w:t>加粗小四</w:t>
      </w:r>
      <w:r>
        <w:rPr>
          <w:rFonts w:hint="eastAsia" w:ascii="宋体" w:hAnsi="宋体" w:eastAsia="宋体" w:cs="宋体"/>
          <w:b/>
          <w:bCs/>
          <w:color w:val="333333"/>
          <w:kern w:val="0"/>
          <w:sz w:val="24"/>
          <w:szCs w:val="24"/>
        </w:rPr>
        <w:t>）</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（文字描述宋体</w:t>
      </w:r>
      <w:r>
        <w:rPr>
          <w:rFonts w:ascii="宋体" w:hAnsi="宋体" w:eastAsia="宋体" w:cs="宋体"/>
          <w:color w:val="333333"/>
          <w:kern w:val="0"/>
          <w:sz w:val="24"/>
          <w:szCs w:val="24"/>
        </w:rPr>
        <w:t>小四</w:t>
      </w:r>
      <w:r>
        <w:rPr>
          <w:rFonts w:hint="eastAsia" w:ascii="宋体" w:hAnsi="宋体" w:eastAsia="宋体" w:cs="宋体"/>
          <w:color w:val="333333"/>
          <w:kern w:val="0"/>
          <w:sz w:val="24"/>
          <w:szCs w:val="24"/>
        </w:rPr>
        <w:t>）</w:t>
      </w:r>
    </w:p>
    <w:p>
      <w:pPr>
        <w:widowControl/>
        <w:shd w:val="clear" w:color="auto" w:fill="FFFFFF"/>
        <w:spacing w:after="240"/>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二、主动公开政府信息情况</w:t>
      </w:r>
    </w:p>
    <w:tbl>
      <w:tblPr>
        <w:tblStyle w:val="6"/>
        <w:tblW w:w="8140" w:type="dxa"/>
        <w:jc w:val="center"/>
        <w:tblLayout w:type="autofit"/>
        <w:tblCellMar>
          <w:top w:w="0" w:type="dxa"/>
          <w:left w:w="0" w:type="dxa"/>
          <w:bottom w:w="0" w:type="dxa"/>
          <w:right w:w="0" w:type="dxa"/>
        </w:tblCellMar>
      </w:tblPr>
      <w:tblGrid>
        <w:gridCol w:w="3113"/>
        <w:gridCol w:w="1875"/>
        <w:gridCol w:w="1271"/>
        <w:gridCol w:w="1881"/>
      </w:tblGrid>
      <w:tr>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制作数量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本年新</w:t>
            </w:r>
            <w:r>
              <w:rPr>
                <w:rFonts w:hint="eastAsia" w:ascii="宋体" w:hAnsi="宋体" w:eastAsia="宋体" w:cs="宋体"/>
                <w:color w:val="000000"/>
                <w:kern w:val="0"/>
                <w:sz w:val="20"/>
                <w:szCs w:val="20"/>
              </w:rPr>
              <w:br w:type="textWrapping"/>
            </w:r>
            <w:r>
              <w:rPr>
                <w:rFonts w:ascii="宋体" w:hAnsi="宋体" w:eastAsia="宋体" w:cs="宋体"/>
                <w:kern w:val="0"/>
                <w:sz w:val="20"/>
                <w:szCs w:val="20"/>
              </w:rPr>
              <w:t>公开数量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其他对外管理服务事项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27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上一年项目数量</w:t>
            </w: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本年增/减</w:t>
            </w:r>
          </w:p>
        </w:tc>
      </w:tr>
      <w:tr>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c>
          <w:tcPr>
            <w:tcW w:w="3152"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7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采购项目数量</w:t>
            </w: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采购总金额</w:t>
            </w:r>
          </w:p>
        </w:tc>
      </w:tr>
      <w:tr>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政府集中采购</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p>
        </w:tc>
        <w:tc>
          <w:tcPr>
            <w:tcW w:w="3152"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color w:val="000000"/>
                <w:kern w:val="0"/>
                <w:sz w:val="20"/>
                <w:szCs w:val="20"/>
              </w:rPr>
            </w:pPr>
          </w:p>
        </w:tc>
      </w:tr>
      <w:tr>
        <w:tblPrEx>
          <w:tblCellMar>
            <w:top w:w="0" w:type="dxa"/>
            <w:left w:w="0" w:type="dxa"/>
            <w:bottom w:w="0" w:type="dxa"/>
            <w:right w:w="0" w:type="dxa"/>
          </w:tblCellMar>
        </w:tblPrEx>
        <w:trPr>
          <w:trHeight w:val="539" w:hRule="atLeast"/>
          <w:jc w:val="center"/>
        </w:trPr>
        <w:tc>
          <w:tcPr>
            <w:tcW w:w="8140" w:type="dxa"/>
            <w:gridSpan w:val="4"/>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jc w:val="left"/>
              <w:rPr>
                <w:rFonts w:ascii="宋体" w:hAnsi="宋体" w:eastAsia="宋体" w:cs="宋体"/>
                <w:kern w:val="0"/>
                <w:sz w:val="18"/>
                <w:szCs w:val="18"/>
              </w:rPr>
            </w:pPr>
            <w:r>
              <w:rPr>
                <w:rFonts w:hint="eastAsia" w:ascii="宋体" w:hAnsi="宋体" w:eastAsia="宋体" w:cs="宋体"/>
                <w:color w:val="000000"/>
                <w:kern w:val="0"/>
                <w:sz w:val="18"/>
                <w:szCs w:val="18"/>
              </w:rPr>
              <w:t>2020年本行政区域（或本部门）政府信息公开发布总数量（非新闻类、消息类）：</w:t>
            </w:r>
          </w:p>
        </w:tc>
      </w:tr>
    </w:tbl>
    <w:p>
      <w:pPr>
        <w:widowControl/>
        <w:shd w:val="clear" w:color="auto" w:fill="FFFFFF"/>
        <w:ind w:firstLine="480"/>
        <w:rPr>
          <w:rFonts w:ascii="宋体" w:hAnsi="宋体" w:eastAsia="宋体" w:cs="宋体"/>
          <w:color w:val="333333"/>
          <w:kern w:val="0"/>
          <w:sz w:val="24"/>
          <w:szCs w:val="24"/>
        </w:rPr>
      </w:pPr>
    </w:p>
    <w:p>
      <w:pPr>
        <w:widowControl/>
        <w:shd w:val="clear" w:color="auto" w:fill="FFFFFF"/>
        <w:spacing w:after="240"/>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三、收到和处理政府信息公开申请情况</w:t>
      </w:r>
    </w:p>
    <w:tbl>
      <w:tblPr>
        <w:tblStyle w:val="6"/>
        <w:tblW w:w="9071" w:type="dxa"/>
        <w:jc w:val="center"/>
        <w:tblLayout w:type="autofit"/>
        <w:tblCellMar>
          <w:top w:w="0" w:type="dxa"/>
          <w:left w:w="0" w:type="dxa"/>
          <w:bottom w:w="0" w:type="dxa"/>
          <w:right w:w="0" w:type="dxa"/>
        </w:tblCellMar>
      </w:tblPr>
      <w:tblGrid>
        <w:gridCol w:w="617"/>
        <w:gridCol w:w="854"/>
        <w:gridCol w:w="2358"/>
        <w:gridCol w:w="708"/>
        <w:gridCol w:w="709"/>
        <w:gridCol w:w="634"/>
        <w:gridCol w:w="925"/>
        <w:gridCol w:w="993"/>
        <w:gridCol w:w="708"/>
        <w:gridCol w:w="565"/>
      </w:tblGrid>
      <w:tr>
        <w:tblPrEx>
          <w:tblCellMar>
            <w:top w:w="0" w:type="dxa"/>
            <w:left w:w="0" w:type="dxa"/>
            <w:bottom w:w="0" w:type="dxa"/>
            <w:right w:w="0" w:type="dxa"/>
          </w:tblCellMar>
        </w:tblPrEx>
        <w:trPr>
          <w:jc w:val="center"/>
        </w:trPr>
        <w:tc>
          <w:tcPr>
            <w:tcW w:w="382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（本列数据的勾稽关系为：第一项加第二项之和，等于第三项加第四项之和）</w:t>
            </w:r>
          </w:p>
        </w:tc>
        <w:tc>
          <w:tcPr>
            <w:tcW w:w="524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38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96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56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382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8"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56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68"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31"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383"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（一）予以公开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（二）部分公开（区分处理的，只计这一情形，不计其他情形）</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6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（三）不予公开</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1.属于国家秘密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2.其他法律行政法规禁止公开</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3.危及“三安全一稳定”</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4.保护第三方合法权益</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5.属于三类内部事务信息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52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6.属于四类过程性信息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7.属于行政执法案卷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8.属于行政查询事项</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（四）无法提供</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1.本机关不掌握相关政府信息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2.没有现成信息需要另行制作</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3.补正后申请内容仍不明确</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（五）不予处理</w:t>
            </w: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1.信访举报投诉类申请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09"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2.重复申请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rHeight w:val="401"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3.要求提供公开出版物</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4.无正当理由大量反复申请</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23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5.要求行政机关确认或重新出具已获取信息</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p>
        </w:tc>
      </w:tr>
      <w:tr>
        <w:tblPrEx>
          <w:tblCellMar>
            <w:top w:w="0" w:type="dxa"/>
            <w:left w:w="0" w:type="dxa"/>
            <w:bottom w:w="0" w:type="dxa"/>
            <w:right w:w="0" w:type="dxa"/>
          </w:tblCellMar>
        </w:tblPrEx>
        <w:trPr>
          <w:trHeight w:val="383"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（六）其他处理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1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321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楷体" w:hAnsi="楷体" w:eastAsia="楷体" w:cs="宋体"/>
                <w:kern w:val="0"/>
                <w:sz w:val="20"/>
                <w:szCs w:val="20"/>
              </w:rPr>
              <w:t>（七）总计</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r>
      <w:tr>
        <w:tblPrEx>
          <w:tblCellMar>
            <w:top w:w="0" w:type="dxa"/>
            <w:left w:w="0" w:type="dxa"/>
            <w:bottom w:w="0" w:type="dxa"/>
            <w:right w:w="0" w:type="dxa"/>
          </w:tblCellMar>
        </w:tblPrEx>
        <w:trPr>
          <w:trHeight w:val="408" w:hRule="atLeast"/>
          <w:jc w:val="center"/>
        </w:trPr>
        <w:tc>
          <w:tcPr>
            <w:tcW w:w="3829"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9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p>
        </w:tc>
      </w:tr>
    </w:tbl>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color w:val="333333"/>
          <w:kern w:val="0"/>
          <w:sz w:val="24"/>
          <w:szCs w:val="24"/>
        </w:rPr>
      </w:pPr>
    </w:p>
    <w:tbl>
      <w:tblPr>
        <w:tblStyle w:val="6"/>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ascii="Calibri" w:hAnsi="Calibri" w:eastAsia="宋体" w:cs="Calibri"/>
                <w:kern w:val="0"/>
                <w:sz w:val="20"/>
                <w:szCs w:val="20"/>
              </w:rPr>
              <w:t> </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kern w:val="0"/>
                <w:sz w:val="20"/>
                <w:szCs w:val="20"/>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kern w:val="0"/>
                <w:sz w:val="24"/>
                <w:szCs w:val="24"/>
              </w:rPr>
            </w:pPr>
          </w:p>
        </w:tc>
      </w:tr>
    </w:tbl>
    <w:p>
      <w:pPr>
        <w:widowControl/>
        <w:shd w:val="clear" w:color="auto" w:fill="FFFFFF"/>
        <w:jc w:val="center"/>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五、存在的主要问题及改进情况</w:t>
      </w:r>
    </w:p>
    <w:p>
      <w:pPr>
        <w:pStyle w:val="5"/>
        <w:shd w:val="clear" w:color="auto" w:fill="FEFEFE"/>
        <w:spacing w:before="0" w:beforeAutospacing="0" w:after="0" w:afterAutospacing="0"/>
        <w:ind w:firstLine="480" w:firstLineChars="200"/>
        <w:jc w:val="both"/>
        <w:rPr>
          <w:color w:val="333333"/>
        </w:rPr>
      </w:pPr>
      <w:r>
        <w:rPr>
          <w:rFonts w:hint="eastAsia"/>
          <w:color w:val="333333"/>
        </w:rPr>
        <w:t>（文字描述）</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 xml:space="preserve"> </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b/>
          <w:bCs/>
          <w:color w:val="333333"/>
          <w:kern w:val="0"/>
          <w:sz w:val="24"/>
          <w:szCs w:val="24"/>
        </w:rPr>
        <w:t>六、其他需要报告的事项</w:t>
      </w:r>
    </w:p>
    <w:p>
      <w:pPr>
        <w:widowControl/>
        <w:shd w:val="clear" w:color="auto" w:fill="FFFFFF"/>
        <w:ind w:firstLine="480"/>
        <w:rPr>
          <w:rFonts w:ascii="宋体" w:hAnsi="宋体" w:eastAsia="宋体" w:cs="宋体"/>
          <w:color w:val="333333"/>
          <w:kern w:val="0"/>
          <w:sz w:val="24"/>
          <w:szCs w:val="24"/>
        </w:rPr>
      </w:pPr>
      <w:r>
        <w:rPr>
          <w:rFonts w:hint="eastAsia" w:ascii="宋体" w:hAnsi="宋体" w:eastAsia="宋体" w:cs="宋体"/>
          <w:color w:val="333333"/>
          <w:kern w:val="0"/>
          <w:sz w:val="24"/>
          <w:szCs w:val="24"/>
        </w:rPr>
        <w:t>（文字描述）</w:t>
      </w: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注：如统计数据表格中的对应项当年没有事项发生，则直接在表格对应处填“0”。</w:t>
      </w:r>
    </w:p>
    <w:p>
      <w:pPr>
        <w:widowControl/>
        <w:jc w:val="left"/>
        <w:rPr>
          <w:rFonts w:ascii="仿宋_GB2312" w:eastAsia="仿宋_GB2312"/>
          <w:sz w:val="32"/>
          <w:szCs w:val="32"/>
        </w:rPr>
      </w:pPr>
      <w:r>
        <w:rPr>
          <w:rFonts w:ascii="仿宋_GB2312" w:eastAsia="仿宋_GB2312"/>
          <w:sz w:val="32"/>
          <w:szCs w:val="32"/>
        </w:rPr>
        <w:br w:type="page"/>
      </w:r>
    </w:p>
    <w:p>
      <w:pPr>
        <w:rPr>
          <w:rFonts w:ascii="黑体" w:hAnsi="黑体" w:eastAsia="黑体"/>
          <w:sz w:val="32"/>
          <w:szCs w:val="32"/>
        </w:rPr>
      </w:pPr>
      <w:r>
        <w:rPr>
          <w:rFonts w:hint="eastAsia" w:ascii="黑体" w:hAnsi="黑体" w:eastAsia="黑体"/>
          <w:sz w:val="32"/>
          <w:szCs w:val="32"/>
        </w:rPr>
        <w:t>附件2</w:t>
      </w:r>
    </w:p>
    <w:p>
      <w:pPr>
        <w:spacing w:line="700" w:lineRule="exact"/>
        <w:jc w:val="center"/>
        <w:rPr>
          <w:rFonts w:ascii="文星标宋" w:hAnsi="文星标宋" w:eastAsia="文星标宋"/>
          <w:sz w:val="44"/>
          <w:szCs w:val="44"/>
        </w:rPr>
      </w:pPr>
    </w:p>
    <w:p>
      <w:pPr>
        <w:spacing w:line="700" w:lineRule="exact"/>
        <w:jc w:val="center"/>
        <w:rPr>
          <w:rFonts w:ascii="文星标宋" w:hAnsi="文星标宋" w:eastAsia="文星标宋"/>
          <w:sz w:val="44"/>
          <w:szCs w:val="44"/>
        </w:rPr>
      </w:pPr>
      <w:r>
        <w:rPr>
          <w:rFonts w:hint="eastAsia" w:ascii="文星标宋" w:hAnsi="文星标宋" w:eastAsia="文星标宋"/>
          <w:sz w:val="44"/>
          <w:szCs w:val="44"/>
        </w:rPr>
        <w:t>省本级编制发布政府信息公开</w:t>
      </w:r>
    </w:p>
    <w:p>
      <w:pPr>
        <w:spacing w:line="700" w:lineRule="exact"/>
        <w:jc w:val="center"/>
        <w:rPr>
          <w:rFonts w:ascii="仿宋_GB2312" w:eastAsia="仿宋_GB2312"/>
          <w:sz w:val="32"/>
          <w:szCs w:val="32"/>
        </w:rPr>
      </w:pPr>
      <w:r>
        <w:rPr>
          <w:rFonts w:hint="eastAsia" w:ascii="文星标宋" w:hAnsi="文星标宋" w:eastAsia="文星标宋"/>
          <w:sz w:val="44"/>
          <w:szCs w:val="44"/>
        </w:rPr>
        <w:t>工作年度报告单位名单</w:t>
      </w:r>
    </w:p>
    <w:p>
      <w:pPr>
        <w:spacing w:line="700" w:lineRule="exact"/>
        <w:ind w:firstLine="1600" w:firstLineChars="5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省委办公厅（省档案局）、省委组织部（省公务员局）、省委宣传部（省新闻出版局、电影局）、省委省政府信访局、省国家保密局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政府办公厅、省发展和改革委、省教育厅、省科学技术厅、省工业和信息化厅、省民族事务委员会、省公安厅、省民政厅、省司法厅、省财政厅、省人力资源和社会保障厅、省自然资源厅、省生态环境厅、省住房和城乡建设厅、省交通运输厅、省水利厅、省农业农村厅、省商务厅、省文化和旅游厅、省卫生健康委员会、省退役军人事务厅、省应急管理厅、省审计厅、省外事办公室、省市场监督管理厅、省国有资产监督管委员会、省广播电视局、省体育局、省统计局、省医疗保障局、省机关事务管理局、省粮食和物资储备局、省人民防空办公室、省地方金融监督管理局、省政务服务和数字化建设管理局、省扶贫开发办公室、省林业和草原局</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省能源局、省监狱管理局、省畜牧业管理局、省中医药管理局、省药品监督管理局</w:t>
      </w:r>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443061"/>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DD"/>
    <w:rsid w:val="00002A00"/>
    <w:rsid w:val="00014661"/>
    <w:rsid w:val="000924E0"/>
    <w:rsid w:val="000A5F10"/>
    <w:rsid w:val="000B12CE"/>
    <w:rsid w:val="000B1979"/>
    <w:rsid w:val="000E2ADD"/>
    <w:rsid w:val="00132046"/>
    <w:rsid w:val="00141722"/>
    <w:rsid w:val="0016139C"/>
    <w:rsid w:val="0019139D"/>
    <w:rsid w:val="001932E5"/>
    <w:rsid w:val="00222583"/>
    <w:rsid w:val="0024147C"/>
    <w:rsid w:val="00244F7B"/>
    <w:rsid w:val="002913E8"/>
    <w:rsid w:val="00292481"/>
    <w:rsid w:val="002C65DE"/>
    <w:rsid w:val="002C6AAC"/>
    <w:rsid w:val="002C7AEF"/>
    <w:rsid w:val="00314EFA"/>
    <w:rsid w:val="00336B96"/>
    <w:rsid w:val="0034624E"/>
    <w:rsid w:val="00374DB0"/>
    <w:rsid w:val="003754A3"/>
    <w:rsid w:val="003A1828"/>
    <w:rsid w:val="00433954"/>
    <w:rsid w:val="0046543E"/>
    <w:rsid w:val="004B6BBD"/>
    <w:rsid w:val="004D3CBF"/>
    <w:rsid w:val="00555D4D"/>
    <w:rsid w:val="00586876"/>
    <w:rsid w:val="00590721"/>
    <w:rsid w:val="005B4C72"/>
    <w:rsid w:val="005B5B5D"/>
    <w:rsid w:val="005E6B68"/>
    <w:rsid w:val="005F7BE6"/>
    <w:rsid w:val="00612B65"/>
    <w:rsid w:val="00621782"/>
    <w:rsid w:val="00632AE9"/>
    <w:rsid w:val="0066266B"/>
    <w:rsid w:val="0066488C"/>
    <w:rsid w:val="00687FDB"/>
    <w:rsid w:val="006C0409"/>
    <w:rsid w:val="006C5AC2"/>
    <w:rsid w:val="006D60D7"/>
    <w:rsid w:val="006E119A"/>
    <w:rsid w:val="006F5721"/>
    <w:rsid w:val="007017D5"/>
    <w:rsid w:val="007159E2"/>
    <w:rsid w:val="00717E3E"/>
    <w:rsid w:val="007234F5"/>
    <w:rsid w:val="0072474B"/>
    <w:rsid w:val="00784438"/>
    <w:rsid w:val="007E307B"/>
    <w:rsid w:val="007E6569"/>
    <w:rsid w:val="007F5B28"/>
    <w:rsid w:val="00823B7F"/>
    <w:rsid w:val="00833BDA"/>
    <w:rsid w:val="008541AE"/>
    <w:rsid w:val="00891544"/>
    <w:rsid w:val="008B6CEF"/>
    <w:rsid w:val="008C5283"/>
    <w:rsid w:val="00902B74"/>
    <w:rsid w:val="009263DB"/>
    <w:rsid w:val="00927493"/>
    <w:rsid w:val="00964CFA"/>
    <w:rsid w:val="009A51C6"/>
    <w:rsid w:val="009D1E00"/>
    <w:rsid w:val="009E64D7"/>
    <w:rsid w:val="009F624D"/>
    <w:rsid w:val="00A22690"/>
    <w:rsid w:val="00A36AB3"/>
    <w:rsid w:val="00A45FC0"/>
    <w:rsid w:val="00A64184"/>
    <w:rsid w:val="00A71027"/>
    <w:rsid w:val="00AA2510"/>
    <w:rsid w:val="00AC0017"/>
    <w:rsid w:val="00B034C1"/>
    <w:rsid w:val="00B13AC4"/>
    <w:rsid w:val="00B14288"/>
    <w:rsid w:val="00B2201E"/>
    <w:rsid w:val="00B3477A"/>
    <w:rsid w:val="00B72358"/>
    <w:rsid w:val="00BB766F"/>
    <w:rsid w:val="00BE279B"/>
    <w:rsid w:val="00C060C1"/>
    <w:rsid w:val="00C51060"/>
    <w:rsid w:val="00CB2C9D"/>
    <w:rsid w:val="00CC3EFF"/>
    <w:rsid w:val="00D21478"/>
    <w:rsid w:val="00D971E8"/>
    <w:rsid w:val="00DA06E8"/>
    <w:rsid w:val="00E24566"/>
    <w:rsid w:val="00E56085"/>
    <w:rsid w:val="00EB5FD9"/>
    <w:rsid w:val="00ED43FA"/>
    <w:rsid w:val="00ED7C78"/>
    <w:rsid w:val="00EE45A1"/>
    <w:rsid w:val="00F03E2C"/>
    <w:rsid w:val="00F179D4"/>
    <w:rsid w:val="00F56532"/>
    <w:rsid w:val="00F611E5"/>
    <w:rsid w:val="00FA3B4B"/>
    <w:rsid w:val="00FB7AD1"/>
    <w:rsid w:val="00FF24C5"/>
    <w:rsid w:val="03D26BC0"/>
    <w:rsid w:val="26E526F6"/>
    <w:rsid w:val="47E430EB"/>
    <w:rsid w:val="506B2BF5"/>
    <w:rsid w:val="5CE6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850</Words>
  <Characters>4848</Characters>
  <Lines>40</Lines>
  <Paragraphs>11</Paragraphs>
  <TotalTime>1</TotalTime>
  <ScaleCrop>false</ScaleCrop>
  <LinksUpToDate>false</LinksUpToDate>
  <CharactersWithSpaces>5687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2020-12-14T02:22:00Z</dcterms:created>
  <dc:creator>lenovo</dc:creator>
  <cp:lastModifiedBy>嬛嬛</cp:lastModifiedBy>
  <cp:lastPrinted>2020-12-19T02:51:00Z</cp:lastPrinted>
  <dcterms:modified xsi:type="dcterms:W3CDTF">2020-12-28T06:14:31Z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